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035" w:rsidRDefault="00AF7E18" w:rsidP="00AF7E18">
      <w:pPr>
        <w:spacing w:after="0" w:line="240" w:lineRule="auto"/>
        <w:jc w:val="center"/>
        <w:rPr>
          <w:rFonts w:ascii="Times New Roman" w:hAnsi="Times New Roman" w:cs="Times New Roman"/>
          <w:sz w:val="24"/>
          <w:szCs w:val="24"/>
          <w:lang w:val="uk-UA"/>
        </w:rPr>
      </w:pPr>
      <w:bookmarkStart w:id="0" w:name="_GoBack"/>
      <w:bookmarkEnd w:id="0"/>
      <w:proofErr w:type="spellStart"/>
      <w:r>
        <w:rPr>
          <w:rFonts w:ascii="Times New Roman" w:hAnsi="Times New Roman" w:cs="Times New Roman"/>
          <w:sz w:val="24"/>
          <w:szCs w:val="24"/>
          <w:lang w:val="uk-UA"/>
        </w:rPr>
        <w:t>Обгрунтування</w:t>
      </w:r>
      <w:proofErr w:type="spellEnd"/>
      <w:r>
        <w:rPr>
          <w:rFonts w:ascii="Times New Roman" w:hAnsi="Times New Roman" w:cs="Times New Roman"/>
          <w:sz w:val="24"/>
          <w:szCs w:val="24"/>
          <w:lang w:val="uk-UA"/>
        </w:rPr>
        <w:t xml:space="preserve"> закупівлі</w:t>
      </w:r>
    </w:p>
    <w:p w:rsidR="00AF7E18" w:rsidRPr="009F2224" w:rsidRDefault="00AF7E18" w:rsidP="00AF7E18">
      <w:pPr>
        <w:spacing w:after="0" w:line="240" w:lineRule="auto"/>
        <w:jc w:val="center"/>
        <w:rPr>
          <w:rFonts w:ascii="Times New Roman" w:hAnsi="Times New Roman" w:cs="Times New Roman"/>
          <w:sz w:val="24"/>
          <w:szCs w:val="24"/>
          <w:lang w:val="uk-UA"/>
        </w:rPr>
      </w:pPr>
      <w:r w:rsidRPr="009F2224">
        <w:rPr>
          <w:rFonts w:ascii="Times New Roman" w:hAnsi="Times New Roman" w:cs="Times New Roman"/>
          <w:sz w:val="24"/>
          <w:szCs w:val="24"/>
          <w:lang w:val="uk-UA"/>
        </w:rPr>
        <w:t xml:space="preserve">ДК 021:2015 код 33600000-6 «Фармацевтична продукція» (лікарські засоби різні: </w:t>
      </w:r>
      <w:proofErr w:type="spellStart"/>
      <w:r w:rsidRPr="009F2224">
        <w:rPr>
          <w:rFonts w:ascii="Times New Roman" w:hAnsi="Times New Roman" w:cs="Times New Roman"/>
          <w:sz w:val="24"/>
          <w:szCs w:val="24"/>
          <w:lang w:val="uk-UA"/>
        </w:rPr>
        <w:t>хлоргексидин</w:t>
      </w:r>
      <w:proofErr w:type="spellEnd"/>
      <w:r w:rsidRPr="009F2224">
        <w:rPr>
          <w:rFonts w:ascii="Times New Roman" w:hAnsi="Times New Roman" w:cs="Times New Roman"/>
          <w:sz w:val="24"/>
          <w:szCs w:val="24"/>
          <w:lang w:val="uk-UA"/>
        </w:rPr>
        <w:t xml:space="preserve">, </w:t>
      </w:r>
      <w:proofErr w:type="spellStart"/>
      <w:r w:rsidRPr="009F2224">
        <w:rPr>
          <w:rFonts w:ascii="Times New Roman" w:hAnsi="Times New Roman" w:cs="Times New Roman"/>
          <w:sz w:val="24"/>
          <w:szCs w:val="24"/>
          <w:lang w:val="uk-UA"/>
        </w:rPr>
        <w:t>диклофенак</w:t>
      </w:r>
      <w:proofErr w:type="spellEnd"/>
      <w:r w:rsidRPr="009F2224">
        <w:rPr>
          <w:rFonts w:ascii="Times New Roman" w:hAnsi="Times New Roman" w:cs="Times New Roman"/>
          <w:sz w:val="24"/>
          <w:szCs w:val="24"/>
          <w:lang w:val="uk-UA"/>
        </w:rPr>
        <w:t xml:space="preserve">, </w:t>
      </w:r>
      <w:proofErr w:type="spellStart"/>
      <w:r w:rsidRPr="009F2224">
        <w:rPr>
          <w:rFonts w:ascii="Times New Roman" w:hAnsi="Times New Roman" w:cs="Times New Roman"/>
          <w:sz w:val="24"/>
          <w:szCs w:val="24"/>
          <w:lang w:val="uk-UA"/>
        </w:rPr>
        <w:t>цефтріаксон</w:t>
      </w:r>
      <w:proofErr w:type="spellEnd"/>
      <w:r w:rsidRPr="009F2224">
        <w:rPr>
          <w:rFonts w:ascii="Times New Roman" w:hAnsi="Times New Roman" w:cs="Times New Roman"/>
          <w:sz w:val="24"/>
          <w:szCs w:val="24"/>
          <w:lang w:val="uk-UA"/>
        </w:rPr>
        <w:t xml:space="preserve">, </w:t>
      </w:r>
      <w:proofErr w:type="spellStart"/>
      <w:r w:rsidRPr="009F2224">
        <w:rPr>
          <w:rFonts w:ascii="Times New Roman" w:hAnsi="Times New Roman" w:cs="Times New Roman"/>
          <w:sz w:val="24"/>
          <w:szCs w:val="24"/>
          <w:lang w:val="uk-UA"/>
        </w:rPr>
        <w:t>амоксицилін</w:t>
      </w:r>
      <w:proofErr w:type="spellEnd"/>
      <w:r w:rsidRPr="009F2224">
        <w:rPr>
          <w:rFonts w:ascii="Times New Roman" w:hAnsi="Times New Roman" w:cs="Times New Roman"/>
          <w:sz w:val="24"/>
          <w:szCs w:val="24"/>
          <w:lang w:val="uk-UA"/>
        </w:rPr>
        <w:t>)</w:t>
      </w:r>
    </w:p>
    <w:p w:rsidR="00AF7E18" w:rsidRDefault="00AF7E18">
      <w:pPr>
        <w:rPr>
          <w:rFonts w:ascii="Times New Roman" w:hAnsi="Times New Roman" w:cs="Times New Roman"/>
          <w:sz w:val="24"/>
          <w:szCs w:val="24"/>
          <w:lang w:val="uk-UA"/>
        </w:rPr>
      </w:pPr>
    </w:p>
    <w:p w:rsidR="00AF7E18" w:rsidRDefault="00AF7E18">
      <w:pPr>
        <w:rPr>
          <w:rFonts w:ascii="Times New Roman" w:hAnsi="Times New Roman" w:cs="Times New Roman"/>
          <w:sz w:val="24"/>
          <w:szCs w:val="24"/>
          <w:lang w:val="uk-UA"/>
        </w:rPr>
      </w:pPr>
      <w:r>
        <w:rPr>
          <w:rFonts w:ascii="Times New Roman" w:hAnsi="Times New Roman" w:cs="Times New Roman"/>
          <w:sz w:val="24"/>
          <w:szCs w:val="24"/>
          <w:lang w:val="uk-UA"/>
        </w:rPr>
        <w:t>Бюджет закупівлі: 4490,00 з ПДВ за рахунок коштів Національної служби здоров’я України.</w:t>
      </w:r>
    </w:p>
    <w:p w:rsidR="00AF7E18" w:rsidRDefault="00AF7E18">
      <w:pPr>
        <w:rPr>
          <w:rFonts w:ascii="Times New Roman" w:hAnsi="Times New Roman" w:cs="Times New Roman"/>
          <w:sz w:val="24"/>
          <w:szCs w:val="24"/>
          <w:lang w:val="uk-UA"/>
        </w:rPr>
      </w:pPr>
    </w:p>
    <w:p w:rsidR="00AF7E18" w:rsidRDefault="00AF7E18" w:rsidP="00AF7E18">
      <w:pPr>
        <w:pStyle w:val="21"/>
        <w:spacing w:after="0" w:line="100" w:lineRule="atLeast"/>
        <w:ind w:left="0"/>
        <w:jc w:val="center"/>
        <w:rPr>
          <w:b/>
          <w:color w:val="000000"/>
        </w:rPr>
      </w:pPr>
      <w:r>
        <w:rPr>
          <w:b/>
          <w:color w:val="000000"/>
        </w:rPr>
        <w:t>Інформація про технічні, якісні та кількісні</w:t>
      </w:r>
    </w:p>
    <w:p w:rsidR="00AF7E18" w:rsidRDefault="00AF7E18" w:rsidP="00AF7E18">
      <w:pPr>
        <w:pStyle w:val="21"/>
        <w:spacing w:after="0" w:line="100" w:lineRule="atLeast"/>
        <w:ind w:left="0"/>
        <w:jc w:val="center"/>
        <w:rPr>
          <w:b/>
          <w:color w:val="000000"/>
          <w:shd w:val="clear" w:color="auto" w:fill="FFFFFA"/>
        </w:rPr>
      </w:pPr>
      <w:r>
        <w:rPr>
          <w:b/>
          <w:color w:val="000000"/>
        </w:rPr>
        <w:t>характеристики предмета закупівлі</w:t>
      </w:r>
    </w:p>
    <w:p w:rsidR="00AF7E18" w:rsidRDefault="00AF7E18" w:rsidP="00AF7E18">
      <w:pPr>
        <w:jc w:val="center"/>
        <w:rPr>
          <w:b/>
        </w:rPr>
      </w:pPr>
    </w:p>
    <w:p w:rsidR="00AF7E18" w:rsidRDefault="00AF7E18" w:rsidP="00AF7E18">
      <w:pPr>
        <w:jc w:val="center"/>
        <w:rPr>
          <w:b/>
          <w:lang w:val="uk-UA"/>
        </w:rPr>
      </w:pPr>
      <w:r>
        <w:rPr>
          <w:b/>
        </w:rPr>
        <w:t>ТЕХНІЧНЕ ЗАВДАННЯ</w:t>
      </w:r>
    </w:p>
    <w:p w:rsidR="00AF7E18" w:rsidRPr="00D05449" w:rsidRDefault="00AF7E18" w:rsidP="00AF7E18">
      <w:pPr>
        <w:jc w:val="center"/>
        <w:rPr>
          <w:b/>
          <w:lang w:val="uk-UA"/>
        </w:rPr>
      </w:pPr>
      <w:r w:rsidRPr="00D05449">
        <w:rPr>
          <w:b/>
          <w:lang w:val="uk-UA"/>
        </w:rPr>
        <w:t xml:space="preserve">ДК 021:2015  код  33600000-6 «Фармацевтична продукція» </w:t>
      </w:r>
    </w:p>
    <w:p w:rsidR="00AF7E18" w:rsidRDefault="00AF7E18" w:rsidP="00AF7E18">
      <w:pPr>
        <w:jc w:val="center"/>
        <w:rPr>
          <w:b/>
          <w:lang w:val="uk-UA"/>
        </w:rPr>
      </w:pPr>
      <w:r w:rsidRPr="00D05449">
        <w:rPr>
          <w:b/>
          <w:lang w:val="uk-UA"/>
        </w:rPr>
        <w:t xml:space="preserve"> (лікарські засоби різні: </w:t>
      </w:r>
      <w:proofErr w:type="spellStart"/>
      <w:r w:rsidRPr="00D05449">
        <w:rPr>
          <w:b/>
          <w:lang w:val="uk-UA"/>
        </w:rPr>
        <w:t>хлоргексидин</w:t>
      </w:r>
      <w:proofErr w:type="spellEnd"/>
      <w:r w:rsidRPr="00D05449">
        <w:rPr>
          <w:b/>
          <w:lang w:val="uk-UA"/>
        </w:rPr>
        <w:t xml:space="preserve">,  </w:t>
      </w:r>
      <w:proofErr w:type="spellStart"/>
      <w:r w:rsidRPr="00D05449">
        <w:rPr>
          <w:b/>
          <w:lang w:val="uk-UA"/>
        </w:rPr>
        <w:t>диклофенак</w:t>
      </w:r>
      <w:proofErr w:type="spellEnd"/>
      <w:r w:rsidRPr="00D05449">
        <w:rPr>
          <w:b/>
          <w:lang w:val="uk-UA"/>
        </w:rPr>
        <w:t xml:space="preserve">, </w:t>
      </w:r>
      <w:proofErr w:type="spellStart"/>
      <w:r w:rsidRPr="00D05449">
        <w:rPr>
          <w:b/>
          <w:lang w:val="uk-UA"/>
        </w:rPr>
        <w:t>цефтріаксон</w:t>
      </w:r>
      <w:proofErr w:type="spellEnd"/>
      <w:r w:rsidRPr="00D05449">
        <w:rPr>
          <w:b/>
          <w:lang w:val="uk-UA"/>
        </w:rPr>
        <w:t xml:space="preserve">, </w:t>
      </w:r>
      <w:proofErr w:type="spellStart"/>
      <w:r w:rsidRPr="00D05449">
        <w:rPr>
          <w:b/>
          <w:lang w:val="uk-UA"/>
        </w:rPr>
        <w:t>амоксицилін</w:t>
      </w:r>
      <w:proofErr w:type="spellEnd"/>
      <w:r w:rsidRPr="00D05449">
        <w:rPr>
          <w:b/>
          <w:lang w:val="uk-UA"/>
        </w:rPr>
        <w:t>)</w:t>
      </w:r>
    </w:p>
    <w:p w:rsidR="00AF7E18" w:rsidRPr="00EC0DDE" w:rsidRDefault="00AF7E18" w:rsidP="00AF7E18">
      <w:pPr>
        <w:tabs>
          <w:tab w:val="left" w:pos="284"/>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lang w:val="uk-UA"/>
        </w:rPr>
      </w:pPr>
      <w:r w:rsidRPr="00EC0DDE">
        <w:rPr>
          <w:b/>
          <w:lang w:val="uk-UA"/>
        </w:rPr>
        <w:t>РОЗДІЛ 1. ЗАГАЛЬНІ ВИМОГИ</w:t>
      </w:r>
    </w:p>
    <w:p w:rsidR="00AF7E18" w:rsidRPr="00EC0DDE" w:rsidRDefault="00AF7E18" w:rsidP="00AF7E18">
      <w:pPr>
        <w:numPr>
          <w:ilvl w:val="0"/>
          <w:numId w:val="1"/>
        </w:numPr>
        <w:tabs>
          <w:tab w:val="left" w:pos="284"/>
          <w:tab w:val="left" w:pos="567"/>
          <w:tab w:val="left" w:pos="993"/>
        </w:tabs>
        <w:spacing w:after="0" w:line="240" w:lineRule="auto"/>
        <w:ind w:left="0" w:firstLine="0"/>
        <w:jc w:val="both"/>
        <w:rPr>
          <w:lang w:val="uk-UA" w:eastAsia="ar-SA"/>
        </w:rPr>
      </w:pPr>
      <w:bookmarkStart w:id="1" w:name="_Hlk517529602"/>
      <w:r w:rsidRPr="00EC0DDE">
        <w:rPr>
          <w:lang w:val="uk-UA" w:eastAsia="ar-SA"/>
        </w:rPr>
        <w:t>Відповідно до пункту 3 частини другої статті 22 Закону цей Додаток визначає інформацію про необхідні технічні, якісні, кількісні та інші характеристики предмета закупівлі, а також способи документального підтвердження відповідності тендерної пропозиції учасника цим характеристикам та вимогам до предмета закупівлі.</w:t>
      </w:r>
    </w:p>
    <w:p w:rsidR="00AF7E18" w:rsidRPr="00EC0DDE" w:rsidRDefault="00AF7E18" w:rsidP="00AF7E18">
      <w:pPr>
        <w:numPr>
          <w:ilvl w:val="0"/>
          <w:numId w:val="1"/>
        </w:numPr>
        <w:tabs>
          <w:tab w:val="left" w:pos="284"/>
          <w:tab w:val="left" w:pos="567"/>
          <w:tab w:val="left" w:pos="993"/>
        </w:tabs>
        <w:spacing w:after="0" w:line="240" w:lineRule="auto"/>
        <w:ind w:left="0" w:firstLine="0"/>
        <w:jc w:val="both"/>
        <w:rPr>
          <w:lang w:val="uk-UA" w:eastAsia="ar-SA"/>
        </w:rPr>
      </w:pPr>
      <w:r w:rsidRPr="00EC0DDE">
        <w:rPr>
          <w:lang w:val="uk-UA" w:eastAsia="ar-SA"/>
        </w:rPr>
        <w:t>Учасники повинні надати в складі пропозиції документи, які підтверджують відповідність пропозиції учасника технічним, якісним, кількісним та іншим характеристикам (вимогам) предмета закупівлі, відповідно до переліку, передбаченого розділом 2 цього Додатку.  Учасники можуть додатково надавати у складі пропозицій  інші документи та інформацію, які на їх думку, підтверджують відповідність пропозицій технічним, якісним та іншим характеристикам (вимогам) предмета закупівлі, передбаченим цього Додатку. При цьому перелік, склад та обсяг таких документів та інформації не регламентується.</w:t>
      </w:r>
    </w:p>
    <w:bookmarkEnd w:id="1"/>
    <w:p w:rsidR="00AF7E18" w:rsidRPr="00EC0DDE" w:rsidRDefault="00AF7E18" w:rsidP="00AF7E18">
      <w:pPr>
        <w:numPr>
          <w:ilvl w:val="0"/>
          <w:numId w:val="1"/>
        </w:numPr>
        <w:tabs>
          <w:tab w:val="left" w:pos="284"/>
          <w:tab w:val="left" w:pos="567"/>
          <w:tab w:val="left" w:pos="993"/>
        </w:tabs>
        <w:spacing w:after="0" w:line="240" w:lineRule="auto"/>
        <w:ind w:left="0" w:firstLine="0"/>
        <w:jc w:val="both"/>
        <w:rPr>
          <w:lang w:val="uk-UA" w:eastAsia="ar-SA"/>
        </w:rPr>
      </w:pPr>
      <w:r w:rsidRPr="00EC0DDE">
        <w:rPr>
          <w:rFonts w:eastAsia="Calibri"/>
          <w:lang w:val="uk-UA" w:eastAsia="ar-SA"/>
        </w:rPr>
        <w:t>Учасник повинен забезпечувати належні умови зберігання та транспортування препаратів лікарських (</w:t>
      </w:r>
      <w:r w:rsidRPr="00EC0DDE">
        <w:rPr>
          <w:rFonts w:eastAsia="Calibri"/>
          <w:spacing w:val="1"/>
          <w:lang w:val="uk-UA" w:eastAsia="ar-SA"/>
        </w:rPr>
        <w:t xml:space="preserve">для забезпечення умов зберігання </w:t>
      </w:r>
      <w:r w:rsidRPr="00EC0DDE">
        <w:rPr>
          <w:rFonts w:eastAsia="Calibri"/>
          <w:lang w:val="uk-UA" w:eastAsia="ar-SA"/>
        </w:rPr>
        <w:t>"холодовий ланцюг").</w:t>
      </w:r>
    </w:p>
    <w:p w:rsidR="00AF7E18" w:rsidRPr="00EC0DDE" w:rsidRDefault="00AF7E18" w:rsidP="00AF7E18">
      <w:pPr>
        <w:numPr>
          <w:ilvl w:val="0"/>
          <w:numId w:val="1"/>
        </w:numPr>
        <w:tabs>
          <w:tab w:val="left" w:pos="284"/>
          <w:tab w:val="left" w:pos="567"/>
          <w:tab w:val="left" w:pos="993"/>
        </w:tabs>
        <w:spacing w:after="0" w:line="240" w:lineRule="auto"/>
        <w:ind w:left="0" w:firstLine="0"/>
        <w:jc w:val="both"/>
        <w:rPr>
          <w:lang w:val="uk-UA" w:eastAsia="ar-SA"/>
        </w:rPr>
      </w:pPr>
      <w:r w:rsidRPr="00EC0DDE">
        <w:rPr>
          <w:rFonts w:eastAsia="Calibri"/>
          <w:lang w:val="uk-UA" w:eastAsia="ar-SA"/>
        </w:rPr>
        <w:t xml:space="preserve">Термін придатності лікарських засобів на момент поставки повинен складати не менше 80% від загального терміну придатності з дня завезення їх на склад </w:t>
      </w:r>
      <w:r>
        <w:rPr>
          <w:rFonts w:eastAsia="Calibri"/>
          <w:lang w:val="uk-UA" w:eastAsia="ar-SA"/>
        </w:rPr>
        <w:t>Покупця</w:t>
      </w:r>
      <w:r w:rsidRPr="00EC0DDE">
        <w:rPr>
          <w:rFonts w:eastAsia="Calibri"/>
          <w:lang w:val="uk-UA" w:eastAsia="ar-SA"/>
        </w:rPr>
        <w:t>.</w:t>
      </w:r>
    </w:p>
    <w:p w:rsidR="00AF7E18" w:rsidRPr="003B7811" w:rsidRDefault="00AF7E18" w:rsidP="00AF7E18">
      <w:pPr>
        <w:numPr>
          <w:ilvl w:val="0"/>
          <w:numId w:val="1"/>
        </w:numPr>
        <w:tabs>
          <w:tab w:val="left" w:pos="284"/>
          <w:tab w:val="left" w:pos="567"/>
          <w:tab w:val="left" w:pos="993"/>
        </w:tabs>
        <w:spacing w:after="0" w:line="240" w:lineRule="auto"/>
        <w:ind w:left="0" w:firstLine="0"/>
        <w:jc w:val="both"/>
        <w:rPr>
          <w:lang w:val="uk-UA" w:eastAsia="ar-SA"/>
        </w:rPr>
      </w:pPr>
      <w:r w:rsidRPr="003B7811">
        <w:rPr>
          <w:rFonts w:eastAsia="Calibri"/>
          <w:lang w:val="uk-UA" w:eastAsia="ar-SA"/>
        </w:rPr>
        <w:t>Продавець постачає Товар відповідно до заявок Покупця не пізніше 2 (двох) календарних днів. Заявка надсилається Покупцем за допомогою електронної пошти на адресу Продавця або засобами факсимільного зв'язку на телефон/факс.</w:t>
      </w:r>
    </w:p>
    <w:p w:rsidR="00AF7E18" w:rsidRPr="003B7811" w:rsidRDefault="00AF7E18" w:rsidP="00AF7E18">
      <w:pPr>
        <w:numPr>
          <w:ilvl w:val="0"/>
          <w:numId w:val="1"/>
        </w:numPr>
        <w:tabs>
          <w:tab w:val="left" w:pos="284"/>
          <w:tab w:val="left" w:pos="567"/>
          <w:tab w:val="left" w:pos="993"/>
        </w:tabs>
        <w:spacing w:after="0" w:line="240" w:lineRule="auto"/>
        <w:ind w:left="0" w:firstLine="0"/>
        <w:jc w:val="both"/>
        <w:rPr>
          <w:lang w:val="uk-UA" w:eastAsia="ar-SA"/>
        </w:rPr>
      </w:pPr>
      <w:r w:rsidRPr="003B7811">
        <w:rPr>
          <w:rFonts w:eastAsia="Calibri"/>
          <w:lang w:val="uk-UA" w:eastAsia="ar-SA"/>
        </w:rPr>
        <w:t xml:space="preserve">Поставка Товару здійснюється за рахунок Продавця до дверей складу Покупця, що знаходиться за адресою: 61004, Харківська область, м. Харків, вул. </w:t>
      </w:r>
      <w:proofErr w:type="spellStart"/>
      <w:r w:rsidRPr="003B7811">
        <w:rPr>
          <w:rFonts w:eastAsia="Calibri"/>
          <w:lang w:val="uk-UA" w:eastAsia="ar-SA"/>
        </w:rPr>
        <w:t>Москалівська</w:t>
      </w:r>
      <w:proofErr w:type="spellEnd"/>
      <w:r w:rsidRPr="003B7811">
        <w:rPr>
          <w:rFonts w:eastAsia="Calibri"/>
          <w:lang w:val="uk-UA" w:eastAsia="ar-SA"/>
        </w:rPr>
        <w:t xml:space="preserve">, буд. 59 в термін до 31.12 2023 року.  </w:t>
      </w:r>
    </w:p>
    <w:p w:rsidR="00AF7E18" w:rsidRPr="00EC0DDE" w:rsidRDefault="00AF7E18" w:rsidP="00AF7E18">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b/>
          <w:lang w:val="uk-UA"/>
        </w:rPr>
      </w:pPr>
    </w:p>
    <w:p w:rsidR="00AF7E18" w:rsidRPr="00EC0DDE" w:rsidRDefault="00AF7E18" w:rsidP="00AF7E18">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lang w:val="uk-UA"/>
        </w:rPr>
      </w:pPr>
      <w:r w:rsidRPr="00EC0DDE">
        <w:rPr>
          <w:b/>
          <w:lang w:val="uk-UA"/>
        </w:rPr>
        <w:t>Учасник повинен надати наступні документи:</w:t>
      </w:r>
    </w:p>
    <w:p w:rsidR="00AF7E18" w:rsidRPr="00EC0DDE" w:rsidRDefault="00AF7E18" w:rsidP="00AF7E18">
      <w:pPr>
        <w:numPr>
          <w:ilvl w:val="3"/>
          <w:numId w:val="1"/>
        </w:numPr>
        <w:tabs>
          <w:tab w:val="left" w:pos="284"/>
          <w:tab w:val="left" w:pos="916"/>
          <w:tab w:val="left" w:pos="993"/>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b/>
          <w:lang w:val="uk-UA"/>
        </w:rPr>
      </w:pPr>
      <w:r w:rsidRPr="00EC0DDE">
        <w:rPr>
          <w:lang w:val="uk-UA"/>
        </w:rPr>
        <w:t>Гарантійний лист з поясненням щодо можливості забезпечення термінової поставки.</w:t>
      </w:r>
    </w:p>
    <w:p w:rsidR="00AF7E18" w:rsidRPr="00EC0DDE" w:rsidRDefault="00AF7E18" w:rsidP="00AF7E18">
      <w:pPr>
        <w:numPr>
          <w:ilvl w:val="3"/>
          <w:numId w:val="1"/>
        </w:numPr>
        <w:tabs>
          <w:tab w:val="left" w:pos="284"/>
          <w:tab w:val="left" w:pos="567"/>
          <w:tab w:val="left" w:pos="993"/>
        </w:tabs>
        <w:spacing w:after="0" w:line="240" w:lineRule="auto"/>
        <w:ind w:left="0" w:firstLine="0"/>
        <w:jc w:val="both"/>
        <w:rPr>
          <w:lang w:val="uk-UA" w:eastAsia="ar-SA"/>
        </w:rPr>
      </w:pPr>
      <w:r w:rsidRPr="00EC0DDE">
        <w:rPr>
          <w:rFonts w:eastAsia="Calibri"/>
          <w:bCs/>
          <w:lang w:val="uk-UA"/>
        </w:rPr>
        <w:t xml:space="preserve">Усі запропоновані лікарські засоби мають бути належним чином зареєстрованими </w:t>
      </w:r>
      <w:r w:rsidRPr="00EC0DDE">
        <w:rPr>
          <w:rFonts w:eastAsia="Calibri"/>
          <w:lang w:val="uk-UA"/>
        </w:rPr>
        <w:t>в МОЗ України (п</w:t>
      </w:r>
      <w:r w:rsidRPr="00EC0DDE">
        <w:rPr>
          <w:rFonts w:eastAsia="Calibri"/>
          <w:lang w:val="uk-UA" w:eastAsia="ar-SA"/>
        </w:rPr>
        <w:t>одаються завірені належним чином копії реєстраційних посвідчень при поставці товару на вимогу Замовника), про що надається гарантійний лист.</w:t>
      </w:r>
    </w:p>
    <w:p w:rsidR="00AF7E18" w:rsidRPr="00EC0DDE" w:rsidRDefault="00AF7E18" w:rsidP="00AF7E18">
      <w:pPr>
        <w:numPr>
          <w:ilvl w:val="3"/>
          <w:numId w:val="1"/>
        </w:numPr>
        <w:tabs>
          <w:tab w:val="left" w:pos="284"/>
          <w:tab w:val="left" w:pos="567"/>
          <w:tab w:val="left" w:pos="993"/>
        </w:tabs>
        <w:spacing w:after="0" w:line="240" w:lineRule="auto"/>
        <w:ind w:left="0" w:firstLine="0"/>
        <w:jc w:val="both"/>
        <w:rPr>
          <w:lang w:val="uk-UA" w:eastAsia="ar-SA"/>
        </w:rPr>
      </w:pPr>
      <w:r w:rsidRPr="00EC0DDE">
        <w:rPr>
          <w:rFonts w:eastAsia="Calibri"/>
          <w:lang w:val="uk-UA"/>
        </w:rPr>
        <w:t xml:space="preserve">Препарати повинні мати інструкції по використанню українською мовою, затверджені наказом МОЗ України </w:t>
      </w:r>
    </w:p>
    <w:p w:rsidR="00AF7E18" w:rsidRPr="00EC0DDE" w:rsidRDefault="00AF7E18" w:rsidP="00AF7E18">
      <w:pPr>
        <w:numPr>
          <w:ilvl w:val="3"/>
          <w:numId w:val="1"/>
        </w:numPr>
        <w:tabs>
          <w:tab w:val="left" w:pos="284"/>
          <w:tab w:val="left" w:pos="567"/>
          <w:tab w:val="left" w:pos="993"/>
        </w:tabs>
        <w:spacing w:after="0" w:line="240" w:lineRule="auto"/>
        <w:ind w:left="0" w:firstLine="0"/>
        <w:jc w:val="both"/>
        <w:rPr>
          <w:lang w:val="uk-UA" w:eastAsia="ar-SA"/>
        </w:rPr>
      </w:pPr>
      <w:r w:rsidRPr="00EC0DDE">
        <w:rPr>
          <w:rFonts w:eastAsia="Lucida Sans Unicode"/>
          <w:iCs/>
          <w:lang w:val="uk-UA" w:eastAsia="en-US"/>
        </w:rPr>
        <w:t>Копія дозволу/ліцензії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чинним законодавством.</w:t>
      </w:r>
    </w:p>
    <w:p w:rsidR="00AF7E18" w:rsidRDefault="00AF7E18" w:rsidP="00AF7E18">
      <w:pPr>
        <w:spacing w:line="264" w:lineRule="auto"/>
        <w:ind w:firstLine="284"/>
        <w:jc w:val="center"/>
        <w:rPr>
          <w:b/>
          <w:lang w:val="uk-UA"/>
        </w:rPr>
      </w:pPr>
    </w:p>
    <w:p w:rsidR="00AF7E18" w:rsidRPr="00EC0DDE" w:rsidRDefault="00AF7E18" w:rsidP="00AF7E18">
      <w:pPr>
        <w:spacing w:line="264" w:lineRule="auto"/>
        <w:ind w:firstLine="284"/>
        <w:jc w:val="center"/>
        <w:rPr>
          <w:b/>
          <w:lang w:val="uk-UA"/>
        </w:rPr>
      </w:pPr>
      <w:r w:rsidRPr="00EC0DDE">
        <w:rPr>
          <w:b/>
          <w:lang w:val="uk-UA"/>
        </w:rPr>
        <w:lastRenderedPageBreak/>
        <w:t>РОЗДІЛ 2. МЕДИКО-ТЕХНІЧНІ ХАРАКТЕРИСТИКИ</w:t>
      </w:r>
    </w:p>
    <w:p w:rsidR="00AF7E18" w:rsidRPr="00EC0DDE" w:rsidRDefault="00AF7E18" w:rsidP="00AF7E18">
      <w:pPr>
        <w:spacing w:line="264" w:lineRule="auto"/>
        <w:ind w:firstLine="284"/>
        <w:jc w:val="center"/>
        <w:rPr>
          <w:b/>
          <w:lang w:val="uk-UA"/>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588"/>
        <w:gridCol w:w="3969"/>
        <w:gridCol w:w="1276"/>
        <w:gridCol w:w="1383"/>
      </w:tblGrid>
      <w:tr w:rsidR="00AF7E18" w:rsidRPr="006A3EB8" w:rsidTr="00492DF5">
        <w:trPr>
          <w:trHeight w:val="266"/>
        </w:trPr>
        <w:tc>
          <w:tcPr>
            <w:tcW w:w="531" w:type="dxa"/>
            <w:vMerge w:val="restart"/>
            <w:shd w:val="clear" w:color="000000" w:fill="D9D9D9"/>
            <w:vAlign w:val="center"/>
          </w:tcPr>
          <w:p w:rsidR="00AF7E18" w:rsidRPr="006A3EB8" w:rsidRDefault="00AF7E18" w:rsidP="00492DF5">
            <w:pPr>
              <w:tabs>
                <w:tab w:val="left" w:pos="144"/>
              </w:tabs>
              <w:spacing w:after="0" w:line="240" w:lineRule="auto"/>
              <w:jc w:val="center"/>
              <w:rPr>
                <w:b/>
                <w:lang w:val="uk-UA" w:eastAsia="en-US"/>
              </w:rPr>
            </w:pPr>
            <w:r w:rsidRPr="006A3EB8">
              <w:rPr>
                <w:b/>
                <w:lang w:val="uk-UA" w:eastAsia="en-US"/>
              </w:rPr>
              <w:t>№ з/п</w:t>
            </w:r>
          </w:p>
        </w:tc>
        <w:tc>
          <w:tcPr>
            <w:tcW w:w="6557" w:type="dxa"/>
            <w:gridSpan w:val="2"/>
            <w:shd w:val="clear" w:color="000000" w:fill="D9D9D9"/>
            <w:vAlign w:val="center"/>
          </w:tcPr>
          <w:p w:rsidR="00AF7E18" w:rsidRPr="006A3EB8" w:rsidRDefault="00AF7E18" w:rsidP="00492DF5">
            <w:pPr>
              <w:jc w:val="center"/>
              <w:rPr>
                <w:b/>
                <w:bCs/>
                <w:color w:val="000000"/>
                <w:lang w:val="uk-UA"/>
              </w:rPr>
            </w:pPr>
            <w:r w:rsidRPr="006A3EB8">
              <w:rPr>
                <w:b/>
                <w:bCs/>
                <w:color w:val="000000"/>
                <w:lang w:val="uk-UA"/>
              </w:rPr>
              <w:t>Найменування товару</w:t>
            </w:r>
          </w:p>
        </w:tc>
        <w:tc>
          <w:tcPr>
            <w:tcW w:w="1276" w:type="dxa"/>
            <w:vMerge w:val="restart"/>
            <w:shd w:val="clear" w:color="000000" w:fill="D9D9D9"/>
            <w:noWrap/>
            <w:vAlign w:val="center"/>
          </w:tcPr>
          <w:p w:rsidR="00AF7E18" w:rsidRPr="006A3EB8" w:rsidRDefault="00AF7E18" w:rsidP="00492DF5">
            <w:pPr>
              <w:spacing w:after="0" w:line="240" w:lineRule="auto"/>
              <w:jc w:val="center"/>
              <w:rPr>
                <w:b/>
                <w:bCs/>
                <w:lang w:val="uk-UA" w:eastAsia="zh-CN"/>
              </w:rPr>
            </w:pPr>
            <w:r w:rsidRPr="006A3EB8">
              <w:rPr>
                <w:b/>
                <w:bCs/>
                <w:lang w:val="uk-UA" w:eastAsia="zh-CN"/>
              </w:rPr>
              <w:t>Одиниця виміру</w:t>
            </w:r>
          </w:p>
        </w:tc>
        <w:tc>
          <w:tcPr>
            <w:tcW w:w="1383" w:type="dxa"/>
            <w:vMerge w:val="restart"/>
            <w:shd w:val="clear" w:color="000000" w:fill="D9D9D9"/>
            <w:noWrap/>
            <w:vAlign w:val="center"/>
          </w:tcPr>
          <w:p w:rsidR="00AF7E18" w:rsidRPr="006A3EB8" w:rsidRDefault="00AF7E18" w:rsidP="00492DF5">
            <w:pPr>
              <w:widowControl w:val="0"/>
              <w:suppressAutoHyphens/>
              <w:autoSpaceDE w:val="0"/>
              <w:spacing w:after="0" w:line="240" w:lineRule="auto"/>
              <w:jc w:val="center"/>
              <w:rPr>
                <w:b/>
                <w:bCs/>
                <w:lang w:val="uk-UA" w:eastAsia="zh-CN"/>
              </w:rPr>
            </w:pPr>
            <w:r w:rsidRPr="006A3EB8">
              <w:rPr>
                <w:b/>
                <w:bCs/>
                <w:lang w:val="uk-UA" w:eastAsia="zh-CN"/>
              </w:rPr>
              <w:t>Кількість</w:t>
            </w:r>
          </w:p>
          <w:p w:rsidR="00AF7E18" w:rsidRPr="006A3EB8" w:rsidRDefault="00AF7E18" w:rsidP="00492DF5">
            <w:pPr>
              <w:spacing w:after="0" w:line="240" w:lineRule="auto"/>
              <w:jc w:val="center"/>
              <w:rPr>
                <w:b/>
                <w:bCs/>
                <w:lang w:val="uk-UA" w:eastAsia="zh-CN"/>
              </w:rPr>
            </w:pPr>
          </w:p>
        </w:tc>
      </w:tr>
      <w:tr w:rsidR="00AF7E18" w:rsidRPr="00EC0DDE" w:rsidTr="00492DF5">
        <w:trPr>
          <w:trHeight w:val="614"/>
        </w:trPr>
        <w:tc>
          <w:tcPr>
            <w:tcW w:w="531" w:type="dxa"/>
            <w:vMerge/>
            <w:shd w:val="clear" w:color="000000" w:fill="D9D9D9"/>
            <w:vAlign w:val="center"/>
          </w:tcPr>
          <w:p w:rsidR="00AF7E18" w:rsidRPr="006A3EB8" w:rsidRDefault="00AF7E18" w:rsidP="00492DF5">
            <w:pPr>
              <w:tabs>
                <w:tab w:val="left" w:pos="144"/>
              </w:tabs>
              <w:spacing w:after="0" w:line="240" w:lineRule="auto"/>
              <w:jc w:val="center"/>
              <w:rPr>
                <w:b/>
                <w:lang w:val="uk-UA" w:eastAsia="en-US"/>
              </w:rPr>
            </w:pPr>
          </w:p>
        </w:tc>
        <w:tc>
          <w:tcPr>
            <w:tcW w:w="2588" w:type="dxa"/>
            <w:shd w:val="clear" w:color="000000" w:fill="D9D9D9"/>
            <w:vAlign w:val="center"/>
            <w:hideMark/>
          </w:tcPr>
          <w:p w:rsidR="00AF7E18" w:rsidRPr="006A3EB8" w:rsidRDefault="00AF7E18" w:rsidP="00492DF5">
            <w:pPr>
              <w:spacing w:after="0" w:line="240" w:lineRule="auto"/>
              <w:jc w:val="center"/>
              <w:rPr>
                <w:b/>
                <w:lang w:val="uk-UA" w:eastAsia="en-US"/>
              </w:rPr>
            </w:pPr>
            <w:r w:rsidRPr="006A3EB8">
              <w:rPr>
                <w:b/>
                <w:lang w:val="uk-UA" w:eastAsia="en-US"/>
              </w:rPr>
              <w:t>Міжнародна</w:t>
            </w:r>
          </w:p>
          <w:p w:rsidR="00AF7E18" w:rsidRPr="006A3EB8" w:rsidRDefault="00AF7E18" w:rsidP="00492DF5">
            <w:pPr>
              <w:spacing w:after="0" w:line="240" w:lineRule="auto"/>
              <w:jc w:val="center"/>
              <w:rPr>
                <w:b/>
                <w:lang w:val="uk-UA" w:eastAsia="en-US"/>
              </w:rPr>
            </w:pPr>
            <w:r w:rsidRPr="006A3EB8">
              <w:rPr>
                <w:b/>
                <w:lang w:val="uk-UA" w:eastAsia="en-US"/>
              </w:rPr>
              <w:t xml:space="preserve"> непатентована назва</w:t>
            </w:r>
          </w:p>
        </w:tc>
        <w:tc>
          <w:tcPr>
            <w:tcW w:w="3969" w:type="dxa"/>
            <w:shd w:val="clear" w:color="000000" w:fill="D9D9D9"/>
            <w:vAlign w:val="center"/>
            <w:hideMark/>
          </w:tcPr>
          <w:p w:rsidR="00AF7E18" w:rsidRPr="00EC0DDE" w:rsidRDefault="00AF7E18" w:rsidP="00492DF5">
            <w:pPr>
              <w:spacing w:after="0" w:line="240" w:lineRule="auto"/>
              <w:jc w:val="center"/>
              <w:rPr>
                <w:b/>
                <w:lang w:val="uk-UA" w:eastAsia="en-US"/>
              </w:rPr>
            </w:pPr>
            <w:r w:rsidRPr="006A3EB8">
              <w:rPr>
                <w:b/>
                <w:bCs/>
                <w:color w:val="000000"/>
                <w:lang w:val="uk-UA"/>
              </w:rPr>
              <w:t>Торговельна назва</w:t>
            </w:r>
          </w:p>
        </w:tc>
        <w:tc>
          <w:tcPr>
            <w:tcW w:w="1276" w:type="dxa"/>
            <w:vMerge/>
            <w:shd w:val="clear" w:color="000000" w:fill="D9D9D9"/>
            <w:noWrap/>
            <w:vAlign w:val="center"/>
            <w:hideMark/>
          </w:tcPr>
          <w:p w:rsidR="00AF7E18" w:rsidRPr="00EC0DDE" w:rsidRDefault="00AF7E18" w:rsidP="00492DF5">
            <w:pPr>
              <w:spacing w:after="0" w:line="240" w:lineRule="auto"/>
              <w:jc w:val="center"/>
              <w:rPr>
                <w:b/>
                <w:lang w:val="uk-UA" w:eastAsia="en-US"/>
              </w:rPr>
            </w:pPr>
          </w:p>
        </w:tc>
        <w:tc>
          <w:tcPr>
            <w:tcW w:w="1383" w:type="dxa"/>
            <w:vMerge/>
            <w:shd w:val="clear" w:color="000000" w:fill="D9D9D9"/>
            <w:noWrap/>
            <w:vAlign w:val="center"/>
            <w:hideMark/>
          </w:tcPr>
          <w:p w:rsidR="00AF7E18" w:rsidRPr="00EC0DDE" w:rsidRDefault="00AF7E18" w:rsidP="00492DF5">
            <w:pPr>
              <w:spacing w:after="0" w:line="240" w:lineRule="auto"/>
              <w:jc w:val="center"/>
              <w:rPr>
                <w:b/>
                <w:lang w:val="uk-UA" w:eastAsia="en-US"/>
              </w:rPr>
            </w:pPr>
          </w:p>
        </w:tc>
      </w:tr>
      <w:tr w:rsidR="00AF7E18" w:rsidRPr="00EC0DDE" w:rsidTr="00492DF5">
        <w:trPr>
          <w:trHeight w:val="315"/>
        </w:trPr>
        <w:tc>
          <w:tcPr>
            <w:tcW w:w="531" w:type="dxa"/>
            <w:shd w:val="clear" w:color="auto" w:fill="auto"/>
            <w:noWrap/>
            <w:vAlign w:val="center"/>
          </w:tcPr>
          <w:p w:rsidR="00AF7E18" w:rsidRPr="00EC0DDE" w:rsidRDefault="00AF7E18" w:rsidP="00AF7E18">
            <w:pPr>
              <w:numPr>
                <w:ilvl w:val="0"/>
                <w:numId w:val="2"/>
              </w:numPr>
              <w:spacing w:after="0" w:line="240" w:lineRule="auto"/>
              <w:ind w:left="0" w:firstLine="0"/>
              <w:rPr>
                <w:b/>
                <w:lang w:val="uk-UA"/>
              </w:rPr>
            </w:pPr>
          </w:p>
        </w:tc>
        <w:tc>
          <w:tcPr>
            <w:tcW w:w="2588" w:type="dxa"/>
            <w:shd w:val="clear" w:color="auto" w:fill="auto"/>
            <w:vAlign w:val="center"/>
          </w:tcPr>
          <w:p w:rsidR="00AF7E18" w:rsidRPr="004E1073" w:rsidRDefault="00AF7E18" w:rsidP="00492DF5">
            <w:pPr>
              <w:spacing w:after="0" w:line="240" w:lineRule="auto"/>
              <w:rPr>
                <w:rFonts w:eastAsia="Calibri"/>
                <w:lang w:val="uk-UA" w:eastAsia="uk-UA"/>
              </w:rPr>
            </w:pPr>
            <w:proofErr w:type="spellStart"/>
            <w:r w:rsidRPr="004E1073">
              <w:rPr>
                <w:bCs/>
                <w:color w:val="202124"/>
                <w:shd w:val="clear" w:color="auto" w:fill="FFFFFF"/>
              </w:rPr>
              <w:t>Chlorhexidine</w:t>
            </w:r>
            <w:proofErr w:type="spellEnd"/>
          </w:p>
        </w:tc>
        <w:tc>
          <w:tcPr>
            <w:tcW w:w="3969" w:type="dxa"/>
            <w:shd w:val="clear" w:color="auto" w:fill="auto"/>
            <w:vAlign w:val="center"/>
          </w:tcPr>
          <w:p w:rsidR="00AF7E18" w:rsidRPr="004E1073" w:rsidRDefault="00AF7E18" w:rsidP="00492DF5">
            <w:pPr>
              <w:spacing w:after="0" w:line="240" w:lineRule="auto"/>
              <w:rPr>
                <w:lang w:val="uk-UA"/>
              </w:rPr>
            </w:pPr>
            <w:proofErr w:type="spellStart"/>
            <w:r w:rsidRPr="004E1073">
              <w:rPr>
                <w:lang w:val="uk-UA"/>
              </w:rPr>
              <w:t>Хлоргексидин</w:t>
            </w:r>
            <w:proofErr w:type="spellEnd"/>
            <w:r w:rsidRPr="004E1073">
              <w:rPr>
                <w:lang w:val="uk-UA"/>
              </w:rPr>
              <w:t xml:space="preserve"> розчин для </w:t>
            </w:r>
            <w:proofErr w:type="spellStart"/>
            <w:r w:rsidRPr="004E1073">
              <w:rPr>
                <w:lang w:val="uk-UA"/>
              </w:rPr>
              <w:t>зовн</w:t>
            </w:r>
            <w:proofErr w:type="spellEnd"/>
            <w:r w:rsidRPr="004E1073">
              <w:rPr>
                <w:lang w:val="uk-UA"/>
              </w:rPr>
              <w:t xml:space="preserve">. ін’єкцій, 0,05%, </w:t>
            </w:r>
          </w:p>
          <w:p w:rsidR="00AF7E18" w:rsidRPr="004E1073" w:rsidRDefault="00AF7E18" w:rsidP="00492DF5">
            <w:pPr>
              <w:spacing w:after="0" w:line="240" w:lineRule="auto"/>
              <w:rPr>
                <w:rFonts w:eastAsia="Calibri"/>
                <w:lang w:val="uk-UA" w:eastAsia="uk-UA"/>
              </w:rPr>
            </w:pPr>
            <w:r w:rsidRPr="004E1073">
              <w:rPr>
                <w:lang w:val="uk-UA"/>
              </w:rPr>
              <w:t xml:space="preserve">200 </w:t>
            </w:r>
            <w:proofErr w:type="spellStart"/>
            <w:r w:rsidRPr="004E1073">
              <w:rPr>
                <w:lang w:val="uk-UA"/>
              </w:rPr>
              <w:t>мл</w:t>
            </w:r>
            <w:proofErr w:type="spellEnd"/>
            <w:r w:rsidRPr="004E1073">
              <w:rPr>
                <w:lang w:val="uk-UA"/>
              </w:rPr>
              <w:t>.</w:t>
            </w:r>
          </w:p>
        </w:tc>
        <w:tc>
          <w:tcPr>
            <w:tcW w:w="1276" w:type="dxa"/>
            <w:shd w:val="clear" w:color="auto" w:fill="auto"/>
            <w:vAlign w:val="center"/>
          </w:tcPr>
          <w:p w:rsidR="00AF7E18" w:rsidRPr="004E1073" w:rsidRDefault="00AF7E18" w:rsidP="00492DF5">
            <w:pPr>
              <w:spacing w:after="0" w:line="240" w:lineRule="auto"/>
              <w:rPr>
                <w:rFonts w:eastAsia="Calibri"/>
                <w:lang w:val="uk-UA" w:eastAsia="uk-UA"/>
              </w:rPr>
            </w:pPr>
            <w:r w:rsidRPr="004E1073">
              <w:rPr>
                <w:lang w:val="uk-UA"/>
              </w:rPr>
              <w:t>флакон</w:t>
            </w:r>
          </w:p>
        </w:tc>
        <w:tc>
          <w:tcPr>
            <w:tcW w:w="1383" w:type="dxa"/>
            <w:shd w:val="clear" w:color="auto" w:fill="auto"/>
            <w:vAlign w:val="center"/>
          </w:tcPr>
          <w:p w:rsidR="00AF7E18" w:rsidRPr="004E1073" w:rsidRDefault="00AF7E18" w:rsidP="00492DF5">
            <w:pPr>
              <w:widowControl w:val="0"/>
              <w:autoSpaceDE w:val="0"/>
              <w:autoSpaceDN w:val="0"/>
              <w:adjustRightInd w:val="0"/>
              <w:spacing w:after="0" w:line="240" w:lineRule="auto"/>
              <w:jc w:val="center"/>
              <w:rPr>
                <w:rFonts w:eastAsia="Calibri"/>
                <w:color w:val="000000"/>
                <w:lang w:val="uk-UA" w:eastAsia="uk-UA"/>
              </w:rPr>
            </w:pPr>
            <w:r>
              <w:rPr>
                <w:lang w:val="uk-UA"/>
              </w:rPr>
              <w:t>8</w:t>
            </w:r>
          </w:p>
        </w:tc>
      </w:tr>
      <w:tr w:rsidR="00AF7E18" w:rsidRPr="00EC0DDE" w:rsidTr="00492DF5">
        <w:trPr>
          <w:trHeight w:val="315"/>
        </w:trPr>
        <w:tc>
          <w:tcPr>
            <w:tcW w:w="531" w:type="dxa"/>
            <w:shd w:val="clear" w:color="auto" w:fill="auto"/>
            <w:noWrap/>
            <w:vAlign w:val="center"/>
          </w:tcPr>
          <w:p w:rsidR="00AF7E18" w:rsidRPr="00EC0DDE" w:rsidRDefault="00AF7E18" w:rsidP="00AF7E18">
            <w:pPr>
              <w:numPr>
                <w:ilvl w:val="0"/>
                <w:numId w:val="2"/>
              </w:numPr>
              <w:spacing w:after="0" w:line="240" w:lineRule="auto"/>
              <w:ind w:left="0" w:firstLine="0"/>
              <w:rPr>
                <w:b/>
                <w:lang w:val="uk-UA"/>
              </w:rPr>
            </w:pPr>
          </w:p>
        </w:tc>
        <w:tc>
          <w:tcPr>
            <w:tcW w:w="2588" w:type="dxa"/>
            <w:shd w:val="clear" w:color="auto" w:fill="auto"/>
            <w:vAlign w:val="center"/>
          </w:tcPr>
          <w:p w:rsidR="00AF7E18" w:rsidRPr="004E1073" w:rsidRDefault="00AF7E18" w:rsidP="00492DF5">
            <w:pPr>
              <w:spacing w:after="0" w:line="240" w:lineRule="auto"/>
              <w:rPr>
                <w:rFonts w:eastAsia="Calibri"/>
                <w:lang w:val="uk-UA" w:eastAsia="uk-UA"/>
              </w:rPr>
            </w:pPr>
            <w:proofErr w:type="spellStart"/>
            <w:r w:rsidRPr="004E1073">
              <w:rPr>
                <w:bCs/>
                <w:color w:val="202124"/>
                <w:shd w:val="clear" w:color="auto" w:fill="FFFFFF"/>
              </w:rPr>
              <w:t>Diclofenac</w:t>
            </w:r>
            <w:proofErr w:type="spellEnd"/>
          </w:p>
        </w:tc>
        <w:tc>
          <w:tcPr>
            <w:tcW w:w="3969" w:type="dxa"/>
            <w:shd w:val="clear" w:color="auto" w:fill="auto"/>
            <w:vAlign w:val="center"/>
          </w:tcPr>
          <w:p w:rsidR="00AF7E18" w:rsidRPr="004E1073" w:rsidRDefault="00AF7E18" w:rsidP="00492DF5">
            <w:pPr>
              <w:spacing w:after="0" w:line="240" w:lineRule="auto"/>
              <w:rPr>
                <w:rFonts w:eastAsia="Calibri"/>
                <w:lang w:val="uk-UA" w:eastAsia="uk-UA"/>
              </w:rPr>
            </w:pPr>
            <w:proofErr w:type="spellStart"/>
            <w:r w:rsidRPr="004E1073">
              <w:rPr>
                <w:rFonts w:eastAsia="Calibri"/>
                <w:lang w:val="uk-UA" w:eastAsia="uk-UA"/>
              </w:rPr>
              <w:t>Диклофенак</w:t>
            </w:r>
            <w:proofErr w:type="spellEnd"/>
            <w:r w:rsidRPr="004E1073">
              <w:rPr>
                <w:rFonts w:eastAsia="Calibri"/>
                <w:lang w:val="uk-UA" w:eastAsia="uk-UA"/>
              </w:rPr>
              <w:t xml:space="preserve">, № 5, </w:t>
            </w:r>
            <w:r>
              <w:rPr>
                <w:rFonts w:eastAsia="Calibri"/>
                <w:lang w:val="uk-UA" w:eastAsia="uk-UA"/>
              </w:rPr>
              <w:t>2</w:t>
            </w:r>
            <w:r w:rsidRPr="004E1073">
              <w:rPr>
                <w:rFonts w:eastAsia="Calibri"/>
                <w:lang w:val="uk-UA" w:eastAsia="uk-UA"/>
              </w:rPr>
              <w:t xml:space="preserve">5 мг., 3 </w:t>
            </w:r>
            <w:proofErr w:type="spellStart"/>
            <w:r w:rsidRPr="004E1073">
              <w:rPr>
                <w:rFonts w:eastAsia="Calibri"/>
                <w:lang w:val="uk-UA" w:eastAsia="uk-UA"/>
              </w:rPr>
              <w:t>мл</w:t>
            </w:r>
            <w:proofErr w:type="spellEnd"/>
            <w:r w:rsidRPr="004E1073">
              <w:rPr>
                <w:rFonts w:eastAsia="Calibri"/>
                <w:lang w:val="uk-UA" w:eastAsia="uk-UA"/>
              </w:rPr>
              <w:t>.</w:t>
            </w:r>
          </w:p>
          <w:p w:rsidR="00AF7E18" w:rsidRPr="004E1073" w:rsidRDefault="00AF7E18" w:rsidP="00492DF5">
            <w:pPr>
              <w:spacing w:after="0" w:line="240" w:lineRule="auto"/>
              <w:rPr>
                <w:rFonts w:eastAsia="Calibri"/>
                <w:lang w:val="uk-UA" w:eastAsia="uk-UA"/>
              </w:rPr>
            </w:pPr>
            <w:r w:rsidRPr="004E1073">
              <w:rPr>
                <w:rFonts w:eastAsia="Calibri"/>
                <w:lang w:val="uk-UA" w:eastAsia="uk-UA"/>
              </w:rPr>
              <w:t xml:space="preserve">Упаковка: по 3 </w:t>
            </w:r>
            <w:proofErr w:type="spellStart"/>
            <w:r w:rsidRPr="004E1073">
              <w:rPr>
                <w:rFonts w:eastAsia="Calibri"/>
                <w:lang w:val="uk-UA" w:eastAsia="uk-UA"/>
              </w:rPr>
              <w:t>мл</w:t>
            </w:r>
            <w:proofErr w:type="spellEnd"/>
            <w:r w:rsidRPr="004E1073">
              <w:rPr>
                <w:rFonts w:eastAsia="Calibri"/>
                <w:lang w:val="uk-UA" w:eastAsia="uk-UA"/>
              </w:rPr>
              <w:t>. Розчину в ампулі, по  5 ампул у блістері, по 2 блістера у коробці.</w:t>
            </w:r>
          </w:p>
        </w:tc>
        <w:tc>
          <w:tcPr>
            <w:tcW w:w="1276" w:type="dxa"/>
            <w:shd w:val="clear" w:color="auto" w:fill="auto"/>
            <w:vAlign w:val="center"/>
          </w:tcPr>
          <w:p w:rsidR="00AF7E18" w:rsidRPr="004E1073" w:rsidRDefault="00AF7E18" w:rsidP="00492DF5">
            <w:pPr>
              <w:spacing w:after="0" w:line="240" w:lineRule="auto"/>
              <w:rPr>
                <w:rFonts w:eastAsia="Calibri"/>
                <w:lang w:val="uk-UA" w:eastAsia="uk-UA"/>
              </w:rPr>
            </w:pPr>
            <w:r w:rsidRPr="004E1073">
              <w:rPr>
                <w:rFonts w:eastAsia="Calibri"/>
                <w:lang w:val="uk-UA" w:eastAsia="uk-UA"/>
              </w:rPr>
              <w:t>упаковк</w:t>
            </w:r>
            <w:r>
              <w:rPr>
                <w:rFonts w:eastAsia="Calibri"/>
                <w:lang w:val="uk-UA" w:eastAsia="uk-UA"/>
              </w:rPr>
              <w:t>а</w:t>
            </w:r>
          </w:p>
        </w:tc>
        <w:tc>
          <w:tcPr>
            <w:tcW w:w="1383" w:type="dxa"/>
            <w:shd w:val="clear" w:color="auto" w:fill="auto"/>
            <w:vAlign w:val="center"/>
          </w:tcPr>
          <w:p w:rsidR="00AF7E18" w:rsidRPr="004E1073" w:rsidRDefault="00AF7E18" w:rsidP="00492DF5">
            <w:pPr>
              <w:widowControl w:val="0"/>
              <w:autoSpaceDE w:val="0"/>
              <w:autoSpaceDN w:val="0"/>
              <w:adjustRightInd w:val="0"/>
              <w:spacing w:after="0" w:line="240" w:lineRule="auto"/>
              <w:jc w:val="center"/>
              <w:rPr>
                <w:rFonts w:eastAsia="Calibri"/>
                <w:color w:val="000000"/>
                <w:lang w:val="uk-UA" w:eastAsia="uk-UA"/>
              </w:rPr>
            </w:pPr>
            <w:r>
              <w:rPr>
                <w:rFonts w:eastAsia="Calibri"/>
                <w:color w:val="000000"/>
                <w:lang w:val="uk-UA" w:eastAsia="uk-UA"/>
              </w:rPr>
              <w:t>48</w:t>
            </w:r>
          </w:p>
        </w:tc>
      </w:tr>
      <w:tr w:rsidR="00AF7E18" w:rsidRPr="00EC0DDE" w:rsidTr="00492DF5">
        <w:trPr>
          <w:trHeight w:val="315"/>
        </w:trPr>
        <w:tc>
          <w:tcPr>
            <w:tcW w:w="531" w:type="dxa"/>
            <w:shd w:val="clear" w:color="auto" w:fill="auto"/>
            <w:noWrap/>
            <w:vAlign w:val="center"/>
          </w:tcPr>
          <w:p w:rsidR="00AF7E18" w:rsidRPr="00EC0DDE" w:rsidRDefault="00AF7E18" w:rsidP="00AF7E18">
            <w:pPr>
              <w:numPr>
                <w:ilvl w:val="0"/>
                <w:numId w:val="2"/>
              </w:numPr>
              <w:spacing w:after="0" w:line="240" w:lineRule="auto"/>
              <w:ind w:left="0" w:firstLine="0"/>
              <w:rPr>
                <w:b/>
                <w:lang w:val="uk-UA"/>
              </w:rPr>
            </w:pPr>
          </w:p>
        </w:tc>
        <w:tc>
          <w:tcPr>
            <w:tcW w:w="2588" w:type="dxa"/>
            <w:shd w:val="clear" w:color="auto" w:fill="auto"/>
            <w:vAlign w:val="center"/>
          </w:tcPr>
          <w:p w:rsidR="00AF7E18" w:rsidRPr="004E1073" w:rsidRDefault="00AF7E18" w:rsidP="00492DF5">
            <w:pPr>
              <w:spacing w:after="0" w:line="240" w:lineRule="auto"/>
              <w:rPr>
                <w:rFonts w:eastAsia="Calibri"/>
                <w:lang w:val="uk-UA" w:eastAsia="uk-UA"/>
              </w:rPr>
            </w:pPr>
            <w:proofErr w:type="spellStart"/>
            <w:r w:rsidRPr="004E1073">
              <w:rPr>
                <w:bCs/>
                <w:color w:val="202124"/>
                <w:shd w:val="clear" w:color="auto" w:fill="FFFFFF"/>
              </w:rPr>
              <w:t>Ceftriaxone</w:t>
            </w:r>
            <w:proofErr w:type="spellEnd"/>
          </w:p>
        </w:tc>
        <w:tc>
          <w:tcPr>
            <w:tcW w:w="3969" w:type="dxa"/>
            <w:shd w:val="clear" w:color="auto" w:fill="auto"/>
            <w:vAlign w:val="center"/>
          </w:tcPr>
          <w:p w:rsidR="00AF7E18" w:rsidRPr="004E1073" w:rsidRDefault="00AF7E18" w:rsidP="00492DF5">
            <w:pPr>
              <w:spacing w:after="0" w:line="240" w:lineRule="auto"/>
              <w:rPr>
                <w:rFonts w:eastAsia="Calibri"/>
                <w:lang w:val="uk-UA" w:eastAsia="uk-UA"/>
              </w:rPr>
            </w:pPr>
            <w:proofErr w:type="spellStart"/>
            <w:r w:rsidRPr="004E1073">
              <w:rPr>
                <w:rFonts w:eastAsia="Calibri"/>
                <w:lang w:val="uk-UA" w:eastAsia="uk-UA"/>
              </w:rPr>
              <w:t>Цефтр</w:t>
            </w:r>
            <w:r>
              <w:rPr>
                <w:rFonts w:eastAsia="Calibri"/>
                <w:lang w:val="uk-UA" w:eastAsia="uk-UA"/>
              </w:rPr>
              <w:t>и</w:t>
            </w:r>
            <w:r w:rsidRPr="004E1073">
              <w:rPr>
                <w:rFonts w:eastAsia="Calibri"/>
                <w:lang w:val="uk-UA" w:eastAsia="uk-UA"/>
              </w:rPr>
              <w:t>аксон</w:t>
            </w:r>
            <w:proofErr w:type="spellEnd"/>
            <w:r w:rsidRPr="004E1073">
              <w:rPr>
                <w:rFonts w:eastAsia="Calibri"/>
                <w:lang w:val="uk-UA" w:eastAsia="uk-UA"/>
              </w:rPr>
              <w:t xml:space="preserve"> №5, 1.0 г</w:t>
            </w:r>
          </w:p>
        </w:tc>
        <w:tc>
          <w:tcPr>
            <w:tcW w:w="1276" w:type="dxa"/>
            <w:shd w:val="clear" w:color="auto" w:fill="auto"/>
            <w:vAlign w:val="center"/>
          </w:tcPr>
          <w:p w:rsidR="00AF7E18" w:rsidRPr="004E1073" w:rsidRDefault="00AF7E18" w:rsidP="00492DF5">
            <w:pPr>
              <w:spacing w:after="0" w:line="240" w:lineRule="auto"/>
              <w:rPr>
                <w:rFonts w:eastAsia="Calibri"/>
                <w:lang w:val="uk-UA" w:eastAsia="uk-UA"/>
              </w:rPr>
            </w:pPr>
            <w:r w:rsidRPr="004E1073">
              <w:rPr>
                <w:rFonts w:eastAsia="Calibri"/>
                <w:lang w:val="uk-UA" w:eastAsia="uk-UA"/>
              </w:rPr>
              <w:t>упаковка</w:t>
            </w:r>
          </w:p>
        </w:tc>
        <w:tc>
          <w:tcPr>
            <w:tcW w:w="1383" w:type="dxa"/>
            <w:shd w:val="clear" w:color="auto" w:fill="auto"/>
            <w:vAlign w:val="center"/>
          </w:tcPr>
          <w:p w:rsidR="00AF7E18" w:rsidRPr="004E1073" w:rsidRDefault="00AF7E18" w:rsidP="00492DF5">
            <w:pPr>
              <w:widowControl w:val="0"/>
              <w:autoSpaceDE w:val="0"/>
              <w:autoSpaceDN w:val="0"/>
              <w:adjustRightInd w:val="0"/>
              <w:spacing w:after="0" w:line="240" w:lineRule="auto"/>
              <w:jc w:val="center"/>
              <w:rPr>
                <w:rFonts w:eastAsia="Calibri"/>
                <w:color w:val="000000"/>
                <w:lang w:val="uk-UA" w:eastAsia="uk-UA"/>
              </w:rPr>
            </w:pPr>
            <w:r>
              <w:rPr>
                <w:rFonts w:eastAsia="Calibri"/>
                <w:color w:val="000000"/>
                <w:lang w:val="uk-UA" w:eastAsia="uk-UA"/>
              </w:rPr>
              <w:t>44</w:t>
            </w:r>
          </w:p>
        </w:tc>
      </w:tr>
      <w:tr w:rsidR="00AF7E18" w:rsidRPr="00EC0DDE" w:rsidTr="00492DF5">
        <w:trPr>
          <w:trHeight w:val="315"/>
        </w:trPr>
        <w:tc>
          <w:tcPr>
            <w:tcW w:w="531" w:type="dxa"/>
            <w:shd w:val="clear" w:color="auto" w:fill="auto"/>
            <w:noWrap/>
            <w:vAlign w:val="center"/>
          </w:tcPr>
          <w:p w:rsidR="00AF7E18" w:rsidRPr="00EC0DDE" w:rsidRDefault="00AF7E18" w:rsidP="00AF7E18">
            <w:pPr>
              <w:numPr>
                <w:ilvl w:val="0"/>
                <w:numId w:val="2"/>
              </w:numPr>
              <w:spacing w:after="0" w:line="240" w:lineRule="auto"/>
              <w:ind w:left="0" w:firstLine="0"/>
              <w:rPr>
                <w:b/>
                <w:lang w:val="uk-UA"/>
              </w:rPr>
            </w:pPr>
          </w:p>
        </w:tc>
        <w:tc>
          <w:tcPr>
            <w:tcW w:w="2588" w:type="dxa"/>
            <w:shd w:val="clear" w:color="auto" w:fill="auto"/>
            <w:vAlign w:val="center"/>
          </w:tcPr>
          <w:p w:rsidR="00AF7E18" w:rsidRPr="004E1073" w:rsidRDefault="00AF7E18" w:rsidP="00492DF5">
            <w:pPr>
              <w:spacing w:after="0" w:line="240" w:lineRule="auto"/>
              <w:rPr>
                <w:rFonts w:eastAsia="Calibri"/>
                <w:lang w:val="uk-UA" w:eastAsia="uk-UA"/>
              </w:rPr>
            </w:pPr>
            <w:proofErr w:type="spellStart"/>
            <w:r w:rsidRPr="004E1073">
              <w:rPr>
                <w:rFonts w:eastAsia="Calibri"/>
                <w:lang w:val="uk-UA" w:eastAsia="uk-UA"/>
              </w:rPr>
              <w:t>Amoxicillin</w:t>
            </w:r>
            <w:proofErr w:type="spellEnd"/>
          </w:p>
        </w:tc>
        <w:tc>
          <w:tcPr>
            <w:tcW w:w="3969" w:type="dxa"/>
            <w:shd w:val="clear" w:color="auto" w:fill="auto"/>
            <w:vAlign w:val="center"/>
          </w:tcPr>
          <w:p w:rsidR="00AF7E18" w:rsidRPr="004E1073" w:rsidRDefault="00AF7E18" w:rsidP="00492DF5">
            <w:pPr>
              <w:spacing w:after="0" w:line="240" w:lineRule="auto"/>
              <w:rPr>
                <w:rFonts w:eastAsia="Calibri"/>
                <w:lang w:val="uk-UA" w:eastAsia="uk-UA"/>
              </w:rPr>
            </w:pPr>
            <w:proofErr w:type="spellStart"/>
            <w:r w:rsidRPr="004E1073">
              <w:rPr>
                <w:rFonts w:eastAsia="Calibri"/>
                <w:lang w:val="uk-UA" w:eastAsia="uk-UA"/>
              </w:rPr>
              <w:t>Амоксицилін</w:t>
            </w:r>
            <w:proofErr w:type="spellEnd"/>
            <w:r w:rsidRPr="004E1073">
              <w:rPr>
                <w:rFonts w:eastAsia="Calibri"/>
                <w:lang w:val="uk-UA" w:eastAsia="uk-UA"/>
              </w:rPr>
              <w:t xml:space="preserve"> в комбінації з </w:t>
            </w:r>
            <w:proofErr w:type="spellStart"/>
            <w:r w:rsidRPr="004E1073">
              <w:rPr>
                <w:rFonts w:eastAsia="Calibri"/>
                <w:lang w:val="uk-UA" w:eastAsia="uk-UA"/>
              </w:rPr>
              <w:t>клавулоновою</w:t>
            </w:r>
            <w:proofErr w:type="spellEnd"/>
            <w:r w:rsidRPr="004E1073">
              <w:rPr>
                <w:rFonts w:eastAsia="Calibri"/>
                <w:lang w:val="uk-UA" w:eastAsia="uk-UA"/>
              </w:rPr>
              <w:t xml:space="preserve"> кислотою (</w:t>
            </w:r>
            <w:proofErr w:type="spellStart"/>
            <w:r w:rsidRPr="004E1073">
              <w:rPr>
                <w:rFonts w:eastAsia="Calibri"/>
                <w:lang w:val="uk-UA" w:eastAsia="uk-UA"/>
              </w:rPr>
              <w:t>амоксиклав</w:t>
            </w:r>
            <w:proofErr w:type="spellEnd"/>
            <w:r w:rsidRPr="004E1073">
              <w:rPr>
                <w:rFonts w:eastAsia="Calibri"/>
                <w:lang w:val="uk-UA" w:eastAsia="uk-UA"/>
              </w:rPr>
              <w:t>) №2, 875 мг/125 мг.</w:t>
            </w:r>
          </w:p>
          <w:p w:rsidR="00AF7E18" w:rsidRPr="004E1073" w:rsidRDefault="00AF7E18" w:rsidP="00492DF5">
            <w:pPr>
              <w:spacing w:after="0" w:line="240" w:lineRule="auto"/>
              <w:rPr>
                <w:rFonts w:eastAsia="Calibri"/>
                <w:lang w:val="uk-UA" w:eastAsia="uk-UA"/>
              </w:rPr>
            </w:pPr>
            <w:r w:rsidRPr="004E1073">
              <w:rPr>
                <w:rFonts w:eastAsia="Calibri"/>
                <w:lang w:val="uk-UA" w:eastAsia="uk-UA"/>
              </w:rPr>
              <w:t>Упаковка: по 2 блістери у картонній коробці, по 7 таблеток у одному блістері</w:t>
            </w:r>
          </w:p>
        </w:tc>
        <w:tc>
          <w:tcPr>
            <w:tcW w:w="1276" w:type="dxa"/>
            <w:shd w:val="clear" w:color="auto" w:fill="auto"/>
            <w:vAlign w:val="center"/>
          </w:tcPr>
          <w:p w:rsidR="00AF7E18" w:rsidRPr="004E1073" w:rsidRDefault="00AF7E18" w:rsidP="00492DF5">
            <w:pPr>
              <w:spacing w:after="0" w:line="240" w:lineRule="auto"/>
              <w:rPr>
                <w:rFonts w:eastAsia="Calibri"/>
                <w:lang w:val="uk-UA" w:eastAsia="uk-UA"/>
              </w:rPr>
            </w:pPr>
            <w:r w:rsidRPr="004E1073">
              <w:rPr>
                <w:rFonts w:eastAsia="Calibri"/>
                <w:lang w:val="uk-UA" w:eastAsia="uk-UA"/>
              </w:rPr>
              <w:t>упаковка</w:t>
            </w:r>
          </w:p>
        </w:tc>
        <w:tc>
          <w:tcPr>
            <w:tcW w:w="1383" w:type="dxa"/>
            <w:shd w:val="clear" w:color="auto" w:fill="auto"/>
            <w:vAlign w:val="center"/>
          </w:tcPr>
          <w:p w:rsidR="00AF7E18" w:rsidRPr="004E1073" w:rsidRDefault="00AF7E18" w:rsidP="00492DF5">
            <w:pPr>
              <w:widowControl w:val="0"/>
              <w:autoSpaceDE w:val="0"/>
              <w:autoSpaceDN w:val="0"/>
              <w:adjustRightInd w:val="0"/>
              <w:spacing w:after="0" w:line="240" w:lineRule="auto"/>
              <w:jc w:val="center"/>
              <w:rPr>
                <w:rFonts w:eastAsia="Calibri"/>
                <w:color w:val="000000"/>
                <w:lang w:val="uk-UA" w:eastAsia="uk-UA"/>
              </w:rPr>
            </w:pPr>
            <w:r>
              <w:rPr>
                <w:rFonts w:eastAsia="Calibri"/>
                <w:color w:val="000000"/>
                <w:lang w:val="uk-UA" w:eastAsia="uk-UA"/>
              </w:rPr>
              <w:t>8</w:t>
            </w:r>
          </w:p>
        </w:tc>
      </w:tr>
    </w:tbl>
    <w:p w:rsidR="00AF7E18" w:rsidRDefault="00AF7E18" w:rsidP="00AF7E18">
      <w:pPr>
        <w:widowControl w:val="0"/>
        <w:suppressAutoHyphens/>
        <w:autoSpaceDE w:val="0"/>
        <w:spacing w:after="0" w:line="300" w:lineRule="auto"/>
        <w:jc w:val="both"/>
        <w:rPr>
          <w:b/>
          <w:i/>
          <w:sz w:val="20"/>
          <w:szCs w:val="20"/>
          <w:lang w:val="uk-UA"/>
        </w:rPr>
      </w:pPr>
    </w:p>
    <w:p w:rsidR="00AF7E18" w:rsidRPr="00EC0DDE" w:rsidRDefault="00AF7E18" w:rsidP="00AF7E18">
      <w:pPr>
        <w:widowControl w:val="0"/>
        <w:suppressAutoHyphens/>
        <w:autoSpaceDE w:val="0"/>
        <w:spacing w:after="0" w:line="300" w:lineRule="auto"/>
        <w:jc w:val="both"/>
        <w:rPr>
          <w:b/>
          <w:i/>
          <w:sz w:val="20"/>
          <w:szCs w:val="20"/>
          <w:lang w:val="uk-UA"/>
        </w:rPr>
      </w:pPr>
      <w:r w:rsidRPr="00EC0DDE">
        <w:rPr>
          <w:b/>
          <w:i/>
          <w:sz w:val="20"/>
          <w:szCs w:val="20"/>
          <w:lang w:val="uk-UA"/>
        </w:rPr>
        <w:t>*всі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w:t>
      </w:r>
    </w:p>
    <w:p w:rsidR="00AF7E18" w:rsidRPr="00EC0DDE" w:rsidRDefault="00AF7E18" w:rsidP="00AF7E18">
      <w:pPr>
        <w:widowControl w:val="0"/>
        <w:tabs>
          <w:tab w:val="left" w:pos="1080"/>
        </w:tabs>
        <w:suppressAutoHyphens/>
        <w:autoSpaceDE w:val="0"/>
        <w:spacing w:after="0" w:line="264" w:lineRule="auto"/>
        <w:jc w:val="both"/>
        <w:rPr>
          <w:i/>
          <w:iCs/>
          <w:sz w:val="20"/>
          <w:szCs w:val="20"/>
          <w:lang w:val="uk-UA"/>
        </w:rPr>
      </w:pPr>
      <w:r w:rsidRPr="00EC0DDE">
        <w:rPr>
          <w:b/>
          <w:bCs/>
          <w:i/>
          <w:sz w:val="20"/>
          <w:szCs w:val="20"/>
          <w:u w:val="single"/>
          <w:lang w:val="uk-UA"/>
        </w:rPr>
        <w:t>Примітка:</w:t>
      </w:r>
      <w:r w:rsidRPr="00EC0DDE">
        <w:rPr>
          <w:i/>
          <w:iCs/>
          <w:sz w:val="20"/>
          <w:szCs w:val="20"/>
          <w:lang w:val="uk-UA"/>
        </w:rPr>
        <w:t>У разі, якщо учасник тендеру пропонує для постачання еквівалент товару, що вимагається замовником, він повинен зазначити в формі «Тендерна пропозиція» конкретне найменування товару, що пропонується для постачання та надати інформацію (довідка або гарантійний лист) в довільній формі з підтвердженням того, що запропонований товар є еквівалентом і за технічними та якісними характеристиками повністю відповідає вимогам замовника.</w:t>
      </w:r>
    </w:p>
    <w:p w:rsidR="00AF7E18" w:rsidRPr="00D87BB4" w:rsidRDefault="00AF7E18" w:rsidP="00AF7E18">
      <w:pPr>
        <w:jc w:val="center"/>
        <w:rPr>
          <w:b/>
          <w:lang w:val="uk-UA"/>
        </w:rPr>
      </w:pPr>
    </w:p>
    <w:p w:rsidR="00AF7E18" w:rsidRPr="00AF7E18" w:rsidRDefault="00AF7E18">
      <w:pPr>
        <w:rPr>
          <w:rFonts w:ascii="Times New Roman" w:hAnsi="Times New Roman" w:cs="Times New Roman"/>
          <w:sz w:val="24"/>
          <w:szCs w:val="24"/>
          <w:lang w:val="uk-UA"/>
        </w:rPr>
      </w:pPr>
    </w:p>
    <w:sectPr w:rsidR="00AF7E18" w:rsidRPr="00AF7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7EB"/>
    <w:multiLevelType w:val="hybridMultilevel"/>
    <w:tmpl w:val="090A4520"/>
    <w:lvl w:ilvl="0" w:tplc="8A740FD8">
      <w:start w:val="1"/>
      <w:numFmt w:val="decimal"/>
      <w:lvlText w:val="%1."/>
      <w:lvlJc w:val="left"/>
      <w:pPr>
        <w:ind w:left="720" w:hanging="360"/>
      </w:pPr>
      <w:rPr>
        <w:rFonts w:cs="Times New Roman" w:hint="default"/>
        <w:b w:val="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657A7838">
      <w:start w:val="1"/>
      <w:numFmt w:val="decimal"/>
      <w:lvlText w:val="%4."/>
      <w:lvlJc w:val="left"/>
      <w:pPr>
        <w:ind w:left="2880" w:hanging="360"/>
      </w:pPr>
      <w:rPr>
        <w:rFonts w:ascii="Times New Roman" w:eastAsia="Times New Roman" w:hAnsi="Times New Roman" w:cs="Times New Roman"/>
        <w:b w:val="0"/>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nsid w:val="13DE6286"/>
    <w:multiLevelType w:val="hybridMultilevel"/>
    <w:tmpl w:val="0D68B34A"/>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E18"/>
    <w:rsid w:val="00863035"/>
    <w:rsid w:val="009F2224"/>
    <w:rsid w:val="00AF7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7E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E18"/>
    <w:rPr>
      <w:rFonts w:ascii="Times New Roman" w:eastAsia="Times New Roman" w:hAnsi="Times New Roman" w:cs="Times New Roman"/>
      <w:b/>
      <w:bCs/>
      <w:kern w:val="36"/>
      <w:sz w:val="48"/>
      <w:szCs w:val="48"/>
    </w:rPr>
  </w:style>
  <w:style w:type="paragraph" w:customStyle="1" w:styleId="21">
    <w:name w:val="Основной текст с отступом 21"/>
    <w:basedOn w:val="a"/>
    <w:qFormat/>
    <w:rsid w:val="00AF7E18"/>
    <w:pPr>
      <w:widowControl w:val="0"/>
      <w:suppressAutoHyphens/>
      <w:spacing w:after="120" w:line="480" w:lineRule="auto"/>
      <w:ind w:left="283"/>
    </w:pPr>
    <w:rPr>
      <w:rFonts w:ascii="Times New Roman CYR" w:eastAsia="Times New Roman" w:hAnsi="Times New Roman CYR" w:cs="Times New Roman CYR"/>
      <w:kern w:val="1"/>
      <w:sz w:val="24"/>
      <w:szCs w:val="24"/>
      <w:lang w:val="uk-UA"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7E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E18"/>
    <w:rPr>
      <w:rFonts w:ascii="Times New Roman" w:eastAsia="Times New Roman" w:hAnsi="Times New Roman" w:cs="Times New Roman"/>
      <w:b/>
      <w:bCs/>
      <w:kern w:val="36"/>
      <w:sz w:val="48"/>
      <w:szCs w:val="48"/>
    </w:rPr>
  </w:style>
  <w:style w:type="paragraph" w:customStyle="1" w:styleId="21">
    <w:name w:val="Основной текст с отступом 21"/>
    <w:basedOn w:val="a"/>
    <w:qFormat/>
    <w:rsid w:val="00AF7E18"/>
    <w:pPr>
      <w:widowControl w:val="0"/>
      <w:suppressAutoHyphens/>
      <w:spacing w:after="120" w:line="480" w:lineRule="auto"/>
      <w:ind w:left="283"/>
    </w:pPr>
    <w:rPr>
      <w:rFonts w:ascii="Times New Roman CYR" w:eastAsia="Times New Roman" w:hAnsi="Times New Roman CYR" w:cs="Times New Roman CYR"/>
      <w:kern w:val="1"/>
      <w:sz w:val="24"/>
      <w:szCs w:val="24"/>
      <w:lang w:val="uk-U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6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Admin</cp:lastModifiedBy>
  <cp:revision>2</cp:revision>
  <dcterms:created xsi:type="dcterms:W3CDTF">2024-01-04T07:11:00Z</dcterms:created>
  <dcterms:modified xsi:type="dcterms:W3CDTF">2024-01-04T07:11:00Z</dcterms:modified>
</cp:coreProperties>
</file>