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0" w:rsidRPr="00241782" w:rsidRDefault="00241782" w:rsidP="00241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41782">
        <w:rPr>
          <w:rFonts w:ascii="Times New Roman" w:hAnsi="Times New Roman" w:cs="Times New Roman"/>
          <w:sz w:val="24"/>
          <w:szCs w:val="24"/>
          <w:lang w:val="uk-UA"/>
        </w:rPr>
        <w:t>Обгрунтування закупівлі</w:t>
      </w:r>
    </w:p>
    <w:p w:rsidR="00241782" w:rsidRDefault="00241782" w:rsidP="00241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41782">
        <w:rPr>
          <w:rFonts w:ascii="Times New Roman" w:hAnsi="Times New Roman" w:cs="Times New Roman"/>
          <w:sz w:val="24"/>
          <w:szCs w:val="24"/>
        </w:rPr>
        <w:t>ДК 021:2015 «Єдиний закупівельний словник» 85140000-2 — Послуги у сфері охорони здоров’я різні Лот № 1. Виконання лабораторних аналізів (досліджень) з біологічного матеріалу пацієнтів (фізичних осіб) ДК 021:2015 «Єдиний закупівельний словник» 85145000-7 Послуги медичних лабораторій Лот № 2. Набір медичний (стерильність), змиви (умовно-патогенні ентеробактерії та золотистий стафілокок) ДК 021:2015 «Єдиний закупівельний словник» 85145000-7 Послуги медичних лабораторій</w:t>
      </w:r>
    </w:p>
    <w:p w:rsidR="00241782" w:rsidRPr="00241782" w:rsidRDefault="00241782" w:rsidP="00241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3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376"/>
      </w:tblGrid>
      <w:tr w:rsidR="00B4561E" w:rsidRPr="00241782" w:rsidTr="00B4561E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241782" w:rsidRPr="00241782" w:rsidRDefault="00241782" w:rsidP="002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782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376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B4561E" w:rsidRDefault="00B4561E" w:rsidP="00B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782" w:rsidRPr="00B4561E" w:rsidRDefault="00241782" w:rsidP="00B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782">
              <w:rPr>
                <w:rFonts w:ascii="Times New Roman" w:hAnsi="Times New Roman" w:cs="Times New Roman"/>
                <w:sz w:val="24"/>
                <w:szCs w:val="24"/>
              </w:rPr>
              <w:t>1 386 250,00 UAH (з ПДВ)</w:t>
            </w:r>
            <w:r w:rsidR="00B45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коштів Національної служби здоров’я України</w:t>
            </w:r>
          </w:p>
        </w:tc>
      </w:tr>
    </w:tbl>
    <w:p w:rsidR="00241782" w:rsidRDefault="00241782">
      <w:pPr>
        <w:rPr>
          <w:lang w:val="uk-UA"/>
        </w:rPr>
      </w:pPr>
    </w:p>
    <w:p w:rsidR="00241782" w:rsidRPr="00B43D4E" w:rsidRDefault="00241782" w:rsidP="00241782">
      <w:pPr>
        <w:spacing w:after="0" w:line="240" w:lineRule="auto"/>
        <w:ind w:left="142" w:right="-283"/>
        <w:jc w:val="center"/>
        <w:rPr>
          <w:rFonts w:eastAsia="Arial"/>
          <w:b/>
          <w:color w:val="000000"/>
          <w:sz w:val="24"/>
          <w:szCs w:val="24"/>
          <w:lang w:eastAsia="uk-UA"/>
        </w:rPr>
      </w:pPr>
      <w:r w:rsidRPr="00B43D4E">
        <w:rPr>
          <w:rFonts w:eastAsia="Arial"/>
          <w:b/>
          <w:color w:val="000000"/>
          <w:sz w:val="24"/>
          <w:szCs w:val="24"/>
          <w:lang w:eastAsia="uk-UA"/>
        </w:rPr>
        <w:t>Медико - технічні, якісні, кількісні та іншим вимоги до предмета закупівлі</w:t>
      </w: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316571" w:rsidRDefault="00241782" w:rsidP="0024178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B43D4E">
        <w:rPr>
          <w:rFonts w:eastAsia="Arial"/>
          <w:b/>
          <w:color w:val="000000"/>
          <w:sz w:val="24"/>
          <w:szCs w:val="24"/>
          <w:lang w:eastAsia="uk-UA"/>
        </w:rPr>
        <w:t xml:space="preserve">за кодом </w:t>
      </w:r>
      <w:r w:rsidRPr="00316571">
        <w:rPr>
          <w:b/>
          <w:color w:val="000000"/>
          <w:sz w:val="24"/>
          <w:szCs w:val="24"/>
          <w:lang w:eastAsia="zh-CN"/>
        </w:rPr>
        <w:t>ДК 021:2015: 85140000-</w:t>
      </w:r>
      <w:r>
        <w:rPr>
          <w:b/>
          <w:color w:val="000000"/>
          <w:sz w:val="24"/>
          <w:szCs w:val="24"/>
          <w:lang w:eastAsia="zh-CN"/>
        </w:rPr>
        <w:t>2</w:t>
      </w:r>
      <w:r w:rsidRPr="00316571">
        <w:rPr>
          <w:b/>
          <w:color w:val="000000"/>
          <w:sz w:val="24"/>
          <w:szCs w:val="24"/>
          <w:lang w:eastAsia="zh-CN"/>
        </w:rPr>
        <w:t xml:space="preserve"> — Послуги у сфері охорони здоров’я різні </w:t>
      </w:r>
    </w:p>
    <w:p w:rsidR="00241782" w:rsidRPr="00316571" w:rsidRDefault="00241782" w:rsidP="0024178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/>
        </w:rPr>
        <w:t>Лот №1. П</w:t>
      </w:r>
      <w:r w:rsidRPr="00316571">
        <w:rPr>
          <w:b/>
          <w:color w:val="000000"/>
          <w:sz w:val="24"/>
          <w:szCs w:val="24"/>
          <w:lang w:eastAsia="zh-CN"/>
        </w:rPr>
        <w:t>ослуги медичних лабораторій: виконання лабораторних аналізів (досліджень)</w:t>
      </w:r>
    </w:p>
    <w:p w:rsidR="00241782" w:rsidRDefault="00241782" w:rsidP="0024178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  <w:r w:rsidRPr="00316571">
        <w:rPr>
          <w:b/>
          <w:color w:val="000000"/>
          <w:sz w:val="24"/>
          <w:szCs w:val="24"/>
          <w:lang w:eastAsia="zh-CN"/>
        </w:rPr>
        <w:t>з біологічного матеріалу пацієнтів (фізичних осіб)</w:t>
      </w:r>
      <w:r w:rsidRPr="00DE7AE5">
        <w:rPr>
          <w:b/>
          <w:color w:val="000000"/>
          <w:sz w:val="24"/>
          <w:szCs w:val="24"/>
          <w:lang w:eastAsia="zh-CN"/>
        </w:rPr>
        <w:t xml:space="preserve">, ДК 021:2015 </w:t>
      </w:r>
      <w:r w:rsidRPr="00DE7AE5">
        <w:rPr>
          <w:b/>
          <w:sz w:val="24"/>
          <w:szCs w:val="24"/>
        </w:rPr>
        <w:t xml:space="preserve">«Єдиний закупівельний словник» </w:t>
      </w:r>
      <w:r w:rsidRPr="00DE7AE5">
        <w:rPr>
          <w:b/>
          <w:color w:val="000000"/>
          <w:sz w:val="24"/>
          <w:szCs w:val="24"/>
          <w:lang w:eastAsia="zh-CN"/>
        </w:rPr>
        <w:t xml:space="preserve">85145000-7 Послуги медичних лабораторій </w:t>
      </w:r>
    </w:p>
    <w:p w:rsidR="00241782" w:rsidRPr="00316571" w:rsidRDefault="00241782" w:rsidP="0024178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</w:p>
    <w:p w:rsidR="00241782" w:rsidRDefault="00241782" w:rsidP="00241782">
      <w:pPr>
        <w:spacing w:after="0" w:line="240" w:lineRule="auto"/>
        <w:ind w:left="142" w:right="-283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142" w:right="-283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eastAsia="Arial"/>
          <w:b/>
          <w:color w:val="000000"/>
          <w:u w:val="single"/>
          <w:lang w:eastAsia="ar-SA"/>
        </w:rPr>
      </w:pPr>
      <w:r w:rsidRPr="00B43D4E">
        <w:rPr>
          <w:rFonts w:eastAsia="Arial"/>
          <w:b/>
          <w:color w:val="000000"/>
          <w:u w:val="single"/>
          <w:lang w:eastAsia="ar-SA"/>
        </w:rPr>
        <w:t>ЗАГАЛЬНІ ВИМОГИ: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 xml:space="preserve"> Послуги з проведення лабораторних досліджень біологічних матеріалів повинні надаватися у порядку, встановленому законодавством України, із дотриманням вимог підзаконних актів, стандартів, та інших документів, що регламентують процес лабораторних досліджень.</w:t>
      </w:r>
    </w:p>
    <w:p w:rsidR="00241782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>Інформація про Учасника повинна міститесь в переліку (ліцензійному реєстрі Міністерства охорони здоров’я Украйни) суб’єктів господарювання, які отримали ліцензію на провадження господарської діяльності з медичної практики, який розміщено на офіційному веб-сайті Міністерства охорони здоров'я України (МОЗ України) (на підтвердження надати копію ліцензії).</w:t>
      </w:r>
    </w:p>
    <w:p w:rsidR="00241782" w:rsidRPr="003F2B59" w:rsidRDefault="00241782" w:rsidP="00241782">
      <w:pPr>
        <w:pStyle w:val="a3"/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Cs w:val="21"/>
          <w:lang w:val="uk-UA" w:eastAsia="en-US"/>
        </w:rPr>
      </w:pPr>
      <w:r w:rsidRPr="003F2B59">
        <w:rPr>
          <w:rFonts w:ascii="Times New Roman" w:eastAsia="Times New Roman" w:hAnsi="Times New Roman" w:cs="Times New Roman"/>
          <w:szCs w:val="21"/>
          <w:lang w:val="uk-UA" w:eastAsia="en-US"/>
        </w:rPr>
        <w:t>Інформація про Учасника повинна міститись в переліку суб'єктів господарювання, які отримали ліцензію на провадження господарської діяльності з медичної практики безпосередньо за адресою надання медичних послуг, який розміщено на офіційному веб-сайті Міністерства охорони здоров'я України (на підтвердження надати Витяг відомостей з Ліцензійного реєстру МОЗ</w:t>
      </w:r>
      <w:r>
        <w:rPr>
          <w:rFonts w:ascii="Times New Roman" w:eastAsia="Times New Roman" w:hAnsi="Times New Roman" w:cs="Times New Roman"/>
          <w:szCs w:val="21"/>
          <w:lang w:val="uk-UA" w:eastAsia="en-US"/>
        </w:rPr>
        <w:t xml:space="preserve"> з медичної практики за адресою надання медичних послуг).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99" w:hanging="357"/>
        <w:jc w:val="both"/>
        <w:rPr>
          <w:szCs w:val="21"/>
        </w:rPr>
      </w:pPr>
      <w:r w:rsidRPr="00A27280">
        <w:rPr>
          <w:szCs w:val="21"/>
        </w:rPr>
        <w:t xml:space="preserve"> Лабораторні дослідження повинні виконуватися кваліфікованим персоналом Учасника на обладнанні, яке відповідає нормам чинного законодавства України, з використанням реактивів, реагентів. витратних матеріалів тощо, які відповідають вимогам технічного регламенту щодо медичних виробів, в тому числі для діагностики invitro та діючим стандартам якості та дозволені у застосування в Україні (надати лист в довільній формі).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>Послуги пацієнтам з проведення лабораторних досліджень біологічних матеріалів надаються за направленням лікарів Замовника.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 xml:space="preserve"> Учасник повинен забезпечити захист персональних даних та медичної інформації пацієнтів відповідно до Закону України «Про захист персональних даних».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 xml:space="preserve"> Звірка наданих послуг з приведення лабораторних досліджень біологічних матеріалів пацієнтів Замовника проводиться на підставі  «Реєстру наданих послуг з лабораторних досліджень» щомісяця.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 xml:space="preserve"> Учасник повинен самостійно здійснювати забір біологічного матеріалу  в робочі дні по графіку з 8-00 год. до 16-00 год. (понеділок - п'ятниця), з 8-00 год. до 12-00 год. (субота). В тому числі можливий забір біологічного матеріалу за місцем проживання пацієнта (надати лист в довільній формі).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 xml:space="preserve"> Учасник повинен забезпечити за власний рахунок транспортування біологічного матеріалу із дотриманням відповідного температурного режиму до місця проведення лабораторних досліджень в робочі дні по графіку: з 8-00 год. до 19-00 год. (понеділок - п'ятниця), з 8-00 гол до 15-00 год. (субота) (надати лист в довільній формі).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 xml:space="preserve"> Учасник повинен забезпечувати шоденний внутрішній контроль якості із застосуванням                       сертифікованнх контрольних матеріалів (на підтвердження надати довідку у довільній формі).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</w:rPr>
      </w:pPr>
      <w:r w:rsidRPr="00A27280">
        <w:rPr>
          <w:szCs w:val="21"/>
        </w:rPr>
        <w:t xml:space="preserve"> Результати лабораторних досліджень Учасником повинні відправлятися на електронну адресу Замовника пацієнта, а також надаватися в паперовому вигляді на бланках відповідної форми протягом одного робочого дня після завершення виконання лабораторного дослідження (на підтвердження надати гарантійний лист).</w:t>
      </w:r>
    </w:p>
    <w:p w:rsidR="00241782" w:rsidRPr="00E27A7A" w:rsidRDefault="00241782" w:rsidP="0024178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  <w:lang w:val="uk-UA"/>
        </w:rPr>
      </w:pPr>
      <w:r w:rsidRPr="00E27A7A">
        <w:rPr>
          <w:rFonts w:ascii="Times New Roman" w:hAnsi="Times New Roman" w:cs="Times New Roman"/>
          <w:szCs w:val="21"/>
          <w:lang w:val="uk-UA"/>
        </w:rPr>
        <w:lastRenderedPageBreak/>
        <w:t xml:space="preserve">Учасник повинен забезпечити розташування пункту по забору біологічного матеріалу у межах не більше </w:t>
      </w:r>
      <w:r>
        <w:rPr>
          <w:rFonts w:ascii="Times New Roman" w:hAnsi="Times New Roman" w:cs="Times New Roman"/>
          <w:szCs w:val="21"/>
          <w:lang w:val="uk-UA"/>
        </w:rPr>
        <w:t>10</w:t>
      </w:r>
      <w:r w:rsidRPr="00E27A7A">
        <w:rPr>
          <w:rFonts w:ascii="Times New Roman" w:hAnsi="Times New Roman" w:cs="Times New Roman"/>
          <w:szCs w:val="21"/>
          <w:lang w:val="uk-UA"/>
        </w:rPr>
        <w:t>00 м від розташування Замовника з метою оптимізації маршрутів пацієнтів та уникнення конфліктних ситуацій, що можуть виникнути</w:t>
      </w:r>
      <w:r>
        <w:rPr>
          <w:rFonts w:ascii="Times New Roman" w:hAnsi="Times New Roman" w:cs="Times New Roman"/>
          <w:szCs w:val="21"/>
          <w:lang w:val="uk-UA"/>
        </w:rPr>
        <w:t xml:space="preserve"> (</w:t>
      </w:r>
      <w:r w:rsidRPr="00E27A7A">
        <w:rPr>
          <w:rFonts w:ascii="Times New Roman" w:hAnsi="Times New Roman" w:cs="Times New Roman"/>
          <w:szCs w:val="21"/>
          <w:lang w:val="uk-UA"/>
        </w:rPr>
        <w:t xml:space="preserve">на підтвердження надати </w:t>
      </w:r>
      <w:r>
        <w:rPr>
          <w:rFonts w:ascii="Times New Roman" w:hAnsi="Times New Roman" w:cs="Times New Roman"/>
          <w:szCs w:val="21"/>
          <w:lang w:val="uk-UA"/>
        </w:rPr>
        <w:t>підтверджуючий документ</w:t>
      </w:r>
      <w:r w:rsidRPr="00E27A7A">
        <w:rPr>
          <w:rFonts w:ascii="Times New Roman" w:hAnsi="Times New Roman" w:cs="Times New Roman"/>
          <w:szCs w:val="21"/>
          <w:lang w:val="uk-UA"/>
        </w:rPr>
        <w:t>)</w:t>
      </w:r>
      <w:r>
        <w:rPr>
          <w:rFonts w:ascii="Times New Roman" w:hAnsi="Times New Roman" w:cs="Times New Roman"/>
          <w:szCs w:val="21"/>
          <w:lang w:val="uk-UA"/>
        </w:rPr>
        <w:t>.</w:t>
      </w:r>
    </w:p>
    <w:p w:rsidR="00241782" w:rsidRPr="00E27A7A" w:rsidRDefault="00241782" w:rsidP="0024178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  <w:lang w:val="uk-UA"/>
        </w:rPr>
      </w:pPr>
      <w:r w:rsidRPr="00E27A7A">
        <w:rPr>
          <w:rFonts w:ascii="Times New Roman" w:hAnsi="Times New Roman" w:cs="Times New Roman"/>
          <w:szCs w:val="21"/>
          <w:lang w:val="uk-UA"/>
        </w:rPr>
        <w:t>Учасник повинен надати акт визначення відповідності приміщення для надання медичних послуг санітарним нормам</w:t>
      </w:r>
      <w:r>
        <w:rPr>
          <w:rFonts w:ascii="Times New Roman" w:hAnsi="Times New Roman" w:cs="Times New Roman"/>
          <w:szCs w:val="21"/>
          <w:lang w:val="uk-UA"/>
        </w:rPr>
        <w:t>,</w:t>
      </w:r>
      <w:r w:rsidRPr="00E27A7A">
        <w:rPr>
          <w:rFonts w:ascii="Times New Roman" w:hAnsi="Times New Roman" w:cs="Times New Roman"/>
          <w:szCs w:val="21"/>
          <w:lang w:val="uk-UA"/>
        </w:rPr>
        <w:t xml:space="preserve"> який повинен відповідати санітарним нормам висновку ДСУ з  ПБХП та ЗС </w:t>
      </w:r>
      <w:r w:rsidRPr="00E27A7A">
        <w:rPr>
          <w:rFonts w:ascii="Times New Roman" w:eastAsia="Times New Roman" w:hAnsi="Times New Roman" w:cs="Times New Roman"/>
          <w:szCs w:val="21"/>
          <w:lang w:val="uk-UA" w:eastAsia="en-US"/>
        </w:rPr>
        <w:t>(на підтвердження надати висновок ДСУ з ПБХП та ЗС</w:t>
      </w:r>
      <w:r>
        <w:rPr>
          <w:rFonts w:ascii="Times New Roman" w:eastAsia="Times New Roman" w:hAnsi="Times New Roman" w:cs="Times New Roman"/>
          <w:szCs w:val="21"/>
          <w:lang w:val="uk-UA" w:eastAsia="en-US"/>
        </w:rPr>
        <w:t xml:space="preserve"> та/або Акт санітарно – епідеміологічного обстеження об’єкта</w:t>
      </w:r>
      <w:r w:rsidRPr="00E27A7A">
        <w:rPr>
          <w:rFonts w:ascii="Times New Roman" w:eastAsia="Times New Roman" w:hAnsi="Times New Roman" w:cs="Times New Roman"/>
          <w:szCs w:val="21"/>
          <w:lang w:val="uk-UA" w:eastAsia="en-US"/>
        </w:rPr>
        <w:t>).</w:t>
      </w:r>
    </w:p>
    <w:p w:rsidR="00241782" w:rsidRPr="00241782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  <w:lang w:val="uk-UA"/>
        </w:rPr>
      </w:pPr>
      <w:r w:rsidRPr="00241782">
        <w:rPr>
          <w:szCs w:val="21"/>
          <w:lang w:val="uk-UA"/>
        </w:rPr>
        <w:t>Доступ до місця проведення забору біологічного матеріалу повинен відповідати встановленим нормам ДБН   В 2.2-40:2018 шодо доступності для осіб з інвалідністю та інших маломобільних груп населення до будівлі та приміщень</w:t>
      </w:r>
      <w:r w:rsidRPr="00241782">
        <w:rPr>
          <w:lang w:val="uk-UA"/>
        </w:rPr>
        <w:t>(надати висновок/технічний звіт щодо доступності для осіб з інвалідністю та інших маломобільних груп населення будівлі та приміщень нежитлової будівлі).</w:t>
      </w:r>
    </w:p>
    <w:p w:rsidR="00241782" w:rsidRPr="00E27A7A" w:rsidRDefault="00241782" w:rsidP="0024178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1"/>
          <w:lang w:val="uk-UA"/>
        </w:rPr>
      </w:pPr>
      <w:r w:rsidRPr="00E27A7A">
        <w:rPr>
          <w:rFonts w:ascii="Times New Roman" w:hAnsi="Times New Roman" w:cs="Times New Roman"/>
          <w:szCs w:val="21"/>
          <w:lang w:val="uk-UA"/>
        </w:rPr>
        <w:t>Інформація про Учасника повинна міститися в переліку суб’єктів господарювання, які отримали ліцензію на провадження господарської діяльності з медичної практики безпосередньо за адресою пункту зі збору біологічних матеріалів, які розміщено на офіційному веб-сайті Міністерства охорони здоров’я України (на підтвердження надати Витяг відомостей з Ліцензійного реєстру МОЗ України з медичної практики за адресою пункту зі збору біологічних матеріалів</w:t>
      </w:r>
      <w:r>
        <w:rPr>
          <w:rFonts w:ascii="Times New Roman" w:hAnsi="Times New Roman" w:cs="Times New Roman"/>
          <w:szCs w:val="21"/>
          <w:lang w:val="uk-UA"/>
        </w:rPr>
        <w:t>)</w:t>
      </w:r>
      <w:r w:rsidRPr="00E27A7A">
        <w:rPr>
          <w:rFonts w:ascii="Times New Roman" w:hAnsi="Times New Roman" w:cs="Times New Roman"/>
          <w:szCs w:val="21"/>
          <w:lang w:val="uk-UA"/>
        </w:rPr>
        <w:t>.</w:t>
      </w:r>
    </w:p>
    <w:p w:rsidR="00241782" w:rsidRPr="00241782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zCs w:val="21"/>
          <w:lang w:val="uk-UA"/>
        </w:rPr>
      </w:pPr>
      <w:r w:rsidRPr="00241782">
        <w:rPr>
          <w:szCs w:val="21"/>
          <w:lang w:val="uk-UA"/>
        </w:rPr>
        <w:t xml:space="preserve">Вартість послуг повинна включати </w:t>
      </w:r>
      <w:r w:rsidRPr="00241782">
        <w:rPr>
          <w:spacing w:val="1"/>
          <w:szCs w:val="21"/>
          <w:lang w:val="uk-UA"/>
        </w:rPr>
        <w:t xml:space="preserve">всі витрати, пов’язані з </w:t>
      </w:r>
      <w:r w:rsidRPr="00241782">
        <w:rPr>
          <w:szCs w:val="21"/>
          <w:lang w:val="uk-UA"/>
        </w:rPr>
        <w:t>предметом закупівлі, сплати податків, обов’язкових платежів, страхування, витрати пов’язані з отриманням необхідних дозволів та</w:t>
      </w:r>
      <w:r w:rsidRPr="00241782">
        <w:rPr>
          <w:spacing w:val="1"/>
          <w:szCs w:val="21"/>
          <w:lang w:val="uk-UA"/>
        </w:rPr>
        <w:t xml:space="preserve"> ліцензій тощо </w:t>
      </w:r>
      <w:r w:rsidRPr="00241782">
        <w:rPr>
          <w:szCs w:val="21"/>
          <w:lang w:val="uk-UA"/>
        </w:rPr>
        <w:t xml:space="preserve"> (</w:t>
      </w:r>
      <w:r w:rsidRPr="00241782">
        <w:rPr>
          <w:b/>
          <w:szCs w:val="21"/>
          <w:lang w:val="uk-UA"/>
        </w:rPr>
        <w:t>на підтвердження надати гарантійний лист</w:t>
      </w:r>
      <w:r w:rsidRPr="00241782">
        <w:rPr>
          <w:szCs w:val="21"/>
          <w:lang w:val="uk-UA"/>
        </w:rPr>
        <w:t>).</w:t>
      </w:r>
    </w:p>
    <w:p w:rsidR="00241782" w:rsidRPr="00A27280" w:rsidRDefault="00241782" w:rsidP="0024178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Cs w:val="21"/>
          <w:lang w:val="uk-UA"/>
        </w:rPr>
      </w:pPr>
      <w:r>
        <w:rPr>
          <w:rFonts w:ascii="Times New Roman" w:eastAsia="Arial" w:hAnsi="Times New Roman" w:cs="Times New Roman"/>
          <w:szCs w:val="21"/>
          <w:lang w:val="uk-UA"/>
        </w:rPr>
        <w:t>Т</w:t>
      </w:r>
      <w:r w:rsidRPr="00A27280">
        <w:rPr>
          <w:rFonts w:ascii="Times New Roman" w:eastAsia="Arial" w:hAnsi="Times New Roman" w:cs="Times New Roman"/>
          <w:szCs w:val="21"/>
          <w:lang w:val="uk-UA"/>
        </w:rPr>
        <w:t xml:space="preserve">ехнічні, якісні характеристики предмета закупівлі повинні передбачати необхідність застосування заходів із захисту довкілля </w:t>
      </w:r>
      <w:r w:rsidRPr="00A27280">
        <w:rPr>
          <w:rFonts w:ascii="Times New Roman" w:eastAsia="Arial" w:hAnsi="Times New Roman" w:cs="Times New Roman"/>
          <w:b/>
          <w:szCs w:val="21"/>
          <w:lang w:val="uk-UA"/>
        </w:rPr>
        <w:t>(надається гарантійний</w:t>
      </w:r>
      <w:r w:rsidRPr="00A27280">
        <w:rPr>
          <w:rFonts w:ascii="Times New Roman" w:eastAsia="Arial" w:hAnsi="Times New Roman" w:cs="Times New Roman"/>
          <w:b/>
          <w:color w:val="000000"/>
          <w:szCs w:val="21"/>
          <w:lang w:val="uk-UA"/>
        </w:rPr>
        <w:t xml:space="preserve"> лист).</w:t>
      </w: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firstLine="284"/>
        <w:jc w:val="both"/>
        <w:rPr>
          <w:rFonts w:eastAsia="Calibri"/>
          <w:b/>
          <w:bCs/>
          <w:i/>
          <w:color w:val="000000"/>
          <w:szCs w:val="24"/>
        </w:rPr>
      </w:pPr>
      <w:r w:rsidRPr="00B43D4E">
        <w:rPr>
          <w:rFonts w:eastAsia="Calibri"/>
          <w:b/>
          <w:bCs/>
          <w:i/>
          <w:color w:val="000000"/>
          <w:szCs w:val="24"/>
        </w:rPr>
        <w:t>Ненадання Учасником будь якого з документів, або надання документу який не відповідає вимогам тендерної документації, є підставою для відхилення пропозиції Учасника.</w:t>
      </w: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/>
        <w:jc w:val="center"/>
        <w:rPr>
          <w:rFonts w:eastAsia="Arial"/>
          <w:b/>
          <w:color w:val="000000"/>
        </w:rPr>
        <w:sectPr w:rsidR="00241782" w:rsidRPr="00B43D4E" w:rsidSect="0025276B">
          <w:pgSz w:w="11906" w:h="16838"/>
          <w:pgMar w:top="426" w:right="424" w:bottom="567" w:left="851" w:header="142" w:footer="0" w:gutter="0"/>
          <w:paperSrc w:first="7" w:other="7"/>
          <w:cols w:space="708"/>
          <w:titlePg/>
          <w:docGrid w:linePitch="360"/>
        </w:sectPr>
      </w:pPr>
    </w:p>
    <w:p w:rsidR="00241782" w:rsidRPr="00B43D4E" w:rsidRDefault="00241782" w:rsidP="00241782">
      <w:pPr>
        <w:spacing w:after="0"/>
        <w:jc w:val="center"/>
        <w:rPr>
          <w:rFonts w:eastAsia="Arial"/>
          <w:b/>
          <w:color w:val="000000"/>
        </w:rPr>
      </w:pPr>
      <w:r w:rsidRPr="00B43D4E">
        <w:rPr>
          <w:rFonts w:eastAsia="Arial"/>
          <w:b/>
          <w:color w:val="000000"/>
        </w:rPr>
        <w:lastRenderedPageBreak/>
        <w:t>Перелік лабораторних досліджень:</w:t>
      </w:r>
    </w:p>
    <w:tbl>
      <w:tblPr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0"/>
        <w:gridCol w:w="1417"/>
      </w:tblGrid>
      <w:tr w:rsidR="00241782" w:rsidRPr="00B43D4E" w:rsidTr="00332680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82" w:rsidRPr="00B43D4E" w:rsidRDefault="00241782" w:rsidP="00332680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B43D4E">
              <w:rPr>
                <w:rFonts w:eastAsia="Arial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782" w:rsidRPr="00B43D4E" w:rsidRDefault="00241782" w:rsidP="00332680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B43D4E">
              <w:rPr>
                <w:rFonts w:eastAsia="Arial"/>
                <w:b/>
                <w:color w:val="000000"/>
                <w:sz w:val="20"/>
                <w:szCs w:val="20"/>
              </w:rPr>
              <w:t>Назва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82" w:rsidRPr="00B43D4E" w:rsidRDefault="00241782" w:rsidP="00332680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/>
              </w:rPr>
            </w:pPr>
            <w:r w:rsidRPr="00B43D4E">
              <w:rPr>
                <w:rFonts w:eastAsia="Arial"/>
                <w:b/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ількість</w:t>
            </w:r>
          </w:p>
        </w:tc>
      </w:tr>
      <w:tr w:rsidR="00241782" w:rsidRPr="00A77851" w:rsidTr="00332680">
        <w:trPr>
          <w:trHeight w:val="2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82" w:rsidRPr="00A77851" w:rsidRDefault="00241782" w:rsidP="00332680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782" w:rsidRPr="00A77851" w:rsidRDefault="00241782" w:rsidP="00332680">
            <w:pPr>
              <w:jc w:val="center"/>
              <w:rPr>
                <w:rFonts w:eastAsia="NSimSun"/>
                <w:b/>
              </w:rPr>
            </w:pPr>
            <w:r w:rsidRPr="00A77851">
              <w:rPr>
                <w:rFonts w:eastAsia="NSimSun"/>
                <w:b/>
              </w:rPr>
              <w:t>Послуги медичних лабораторій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82" w:rsidRPr="00A77851" w:rsidRDefault="00241782" w:rsidP="00332680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13430</w:t>
            </w:r>
          </w:p>
        </w:tc>
      </w:tr>
      <w:tr w:rsidR="00241782" w:rsidRPr="00F57723" w:rsidTr="00332680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загальний білок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50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альбумін, альфа-амілаза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50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креатинін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200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 xml:space="preserve">сечовина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200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 xml:space="preserve">сечова кислота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300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 xml:space="preserve">залізо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200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феритин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150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трансферин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100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 xml:space="preserve">лужна фосфатаза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300</w:t>
            </w:r>
          </w:p>
        </w:tc>
      </w:tr>
      <w:tr w:rsidR="00241782" w:rsidRPr="00F57723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 xml:space="preserve">лактатдегідрогеназа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200</w:t>
            </w:r>
          </w:p>
        </w:tc>
      </w:tr>
      <w:tr w:rsidR="00241782" w:rsidRPr="00F57723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Тимолова проба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200</w:t>
            </w:r>
          </w:p>
        </w:tc>
      </w:tr>
      <w:tr w:rsidR="00241782" w:rsidRPr="00F57723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Ліпідний профіль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100</w:t>
            </w:r>
          </w:p>
        </w:tc>
      </w:tr>
      <w:tr w:rsidR="00241782" w:rsidRPr="00F57723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F57723">
              <w:t>тригліцериди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 w:rsidRPr="00E919E3">
              <w:t>50</w:t>
            </w:r>
          </w:p>
        </w:tc>
      </w:tr>
      <w:tr w:rsidR="00241782" w:rsidRPr="00EF3F87" w:rsidTr="00332680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rPr>
                <w:b/>
              </w:rPr>
            </w:pPr>
            <w:r w:rsidRPr="00EF3F87">
              <w:rPr>
                <w:b/>
              </w:rPr>
              <w:t xml:space="preserve">Коагуляційний гемостаз: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</w:p>
        </w:tc>
      </w:tr>
      <w:tr w:rsidR="00241782" w:rsidRPr="00EF3F87" w:rsidTr="00332680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фібриноген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100</w:t>
            </w:r>
          </w:p>
        </w:tc>
      </w:tr>
      <w:tr w:rsidR="00241782" w:rsidRPr="00EF3F87" w:rsidTr="00332680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міжнародне нормалізоване відношення (МНВ)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100</w:t>
            </w:r>
          </w:p>
        </w:tc>
      </w:tr>
      <w:tr w:rsidR="00241782" w:rsidRPr="00EF3F87" w:rsidTr="00332680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Вітамін “Д”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100</w:t>
            </w:r>
          </w:p>
        </w:tc>
      </w:tr>
      <w:tr w:rsidR="00241782" w:rsidRPr="00EF3F87" w:rsidTr="00332680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вітамін В9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вітамін В12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1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Глюкоза в цільній крові або сироватці крові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Глікозильований гемоглобін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Визначення альфафетопротеїну (AFP)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Онкомаркери - ПСА загальний (простат-специфічний антиген загальний)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Онкомаркери - ПСАвільний (простат-специфічний антиген вільний)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150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Онкомаркери - РЕА (раково-ембріональний антиген)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Онкомаркери - СА 15.3 (муціноподобнийглікопротеїн) (молочна залоза)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Онкомаркери - СА 19.9 (підшлункова залоза, жовчний міхур)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Онкомаркери - СА 125 (маркер яєчників)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Онкомаркери - НЕ 4 (маркер карциноми яєчників)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rPr>
                <w:b/>
              </w:rPr>
            </w:pPr>
            <w:r w:rsidRPr="00EF3F87">
              <w:rPr>
                <w:b/>
              </w:rPr>
              <w:t>Бактеріологічні дослідження: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бакпосів з носа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80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бакпосів з зіву 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80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бакпосів з ока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80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бакпосів сечі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80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бакпосів з рани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80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бакпосів з вуха (+ антибіотикограма)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80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Імунологічні дослідження для виявлення та контролю за інфекційними захворюваннями:HbsAg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Імунологічні дослідження для виявлення та контролю за інфекційними захворюваннями:антитіла до HCV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Вірус гепатиту В, якісне визначення ДНК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Вірус гепатиту С, якісне визначення РНК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Імунологічні дослідження для виявлення та контролю за інфекційними захворюваннями:тестування на ВІЛ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Імунологічні дослідження для виявлення та контролю за інфекційними захворюваннями: хламідія пневмонія </w:t>
            </w:r>
            <w:r w:rsidRPr="00EF3F87">
              <w:rPr>
                <w:lang w:val="en-US"/>
              </w:rPr>
              <w:t>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  <w:rPr>
                <w:lang w:val="en-US"/>
              </w:rPr>
            </w:pPr>
            <w:r w:rsidRPr="00EF3F87">
              <w:rPr>
                <w:lang w:val="en-US"/>
              </w:rPr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Імунологічні дослідження для виявлення та контролю за інфекційними захворюваннями: мікоплазма пневмонія </w:t>
            </w:r>
            <w:r w:rsidRPr="00EF3F87">
              <w:rPr>
                <w:lang w:val="en-US"/>
              </w:rPr>
              <w:t>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Імунологічні дослідження для виявлення та контролю за </w:t>
            </w:r>
            <w:r w:rsidRPr="00EF3F87">
              <w:lastRenderedPageBreak/>
              <w:t>інфекційними захворюваннями: герпес</w:t>
            </w:r>
            <w:r w:rsidRPr="00EF3F87">
              <w:rPr>
                <w:lang w:val="en-US"/>
              </w:rPr>
              <w:t>Zoster</w:t>
            </w:r>
            <w:r w:rsidRPr="00EF3F87">
              <w:t xml:space="preserve">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lastRenderedPageBreak/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lastRenderedPageBreak/>
              <w:t>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Імунологічні дослідження для виявлення та контролю за інфекційними захворюваннями: вірус Епштейн-Барр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Імунологічні дослідження для виявлення та контролю за інфекційними захворюваннями: бореліоз</w:t>
            </w:r>
            <w:r w:rsidRPr="00EF3F87">
              <w:rPr>
                <w:lang w:val="en-US"/>
              </w:rPr>
              <w:t>IgM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Імунологічні дослідження для виявлення та контролю за інфекційними захворюваннями: бореліоз</w:t>
            </w:r>
            <w:r w:rsidRPr="00EF3F87">
              <w:rPr>
                <w:lang w:val="en-US"/>
              </w:rPr>
              <w:t>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Імунологічні дослідження для виявлення та контролю за інфекційними захворюваннями: хелікобактерпілорі</w:t>
            </w:r>
            <w:r w:rsidRPr="00EF3F87">
              <w:rPr>
                <w:lang w:val="en-US"/>
              </w:rPr>
              <w:t>IgM</w:t>
            </w:r>
            <w:r w:rsidRPr="00EF3F87">
              <w:t>+</w:t>
            </w:r>
            <w:r w:rsidRPr="00EF3F87">
              <w:rPr>
                <w:lang w:val="en-US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Хелікобактерпілорі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Імунологічні дослідження для виявлення та контролю за інфекційними захворюваннями: дифтерія </w:t>
            </w:r>
            <w:r w:rsidRPr="00EF3F87">
              <w:rPr>
                <w:lang w:val="en-US"/>
              </w:rPr>
              <w:t>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Гітологічні дослідження матеріалу, отриманого після: біопсії ендометрію (аспіраційна біопсія, вишкрібання, поліпектомія);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Гітологічні дослідження матеріалу, отриманого після: вишкрібання цервікального каналу; біопсії шийки матки (не ексцизійна)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Гітологічні дослідження матеріалу, отриманого після:біопсії шкіри; біопсії простати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тироксин (Т4 вільний)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тиреотропний гормон (ТТГ)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антитіла до тиреоглобуліну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  <w:rPr>
                <w:lang w:val="en-US"/>
              </w:rPr>
            </w:pPr>
            <w:r w:rsidRPr="00EF3F87">
              <w:rPr>
                <w:lang w:val="en-US"/>
              </w:rPr>
              <w:t>300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антитіла до рецепторів ТТГ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кальцитонін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адреналін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остеокальцин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інсуліноподібний фактор росту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макропролактин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індекс вільного тестостерону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дегідроепіандростерон-сульфат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альдостерон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дигідротестостерон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глобулін що зв’язує статеві гормони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антимюллерів гормон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Гормональні дослідження: інгібін 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Пренатальна діагностика: плацентарний лактоген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Пренатальна діагностика: плацентарний фактор росту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мікоплазма гомініс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мікоплазма геніталіум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уреоплазмауреалітикум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нейсерія гонорея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кандида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трихомонадавагіналіс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інфекцій:вірус простого герпесу 1/2 типу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цитомегаловірус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токсоплазма гондії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250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Діагностика інфекцій: хламідіятрахоматіс ПЛР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300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Паразитарні дослідження: аскариди</w:t>
            </w:r>
            <w:r w:rsidRPr="00EF3F87">
              <w:rPr>
                <w:lang w:val="en-US"/>
              </w:rPr>
              <w:t>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 xml:space="preserve">Паразитарні дослідження: лямблії </w:t>
            </w:r>
            <w:r w:rsidRPr="00EF3F87">
              <w:rPr>
                <w:lang w:val="en-US"/>
              </w:rPr>
              <w:t>IgG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  <w:tr w:rsidR="00241782" w:rsidRPr="00EF3F87" w:rsidTr="00332680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</w:pPr>
            <w:r w:rsidRPr="00EF3F87">
              <w:t>Паразитарні дослідження: токсокари</w:t>
            </w:r>
            <w:r w:rsidRPr="00EF3F87">
              <w:rPr>
                <w:lang w:val="en-US"/>
              </w:rPr>
              <w:t>IgM</w:t>
            </w:r>
            <w:r w:rsidRPr="00EF3F87">
              <w:t>+</w:t>
            </w:r>
            <w:r w:rsidRPr="00EF3F87">
              <w:rPr>
                <w:lang w:val="en-US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782" w:rsidRPr="00EF3F87" w:rsidRDefault="00241782" w:rsidP="00332680">
            <w:pPr>
              <w:spacing w:after="0" w:line="240" w:lineRule="auto"/>
              <w:jc w:val="center"/>
            </w:pPr>
            <w:r w:rsidRPr="00EF3F87">
              <w:t>50</w:t>
            </w:r>
          </w:p>
        </w:tc>
      </w:tr>
    </w:tbl>
    <w:p w:rsidR="00241782" w:rsidRPr="00EF3F87" w:rsidRDefault="00241782" w:rsidP="00241782">
      <w:pPr>
        <w:spacing w:after="0"/>
        <w:jc w:val="both"/>
        <w:rPr>
          <w:rFonts w:eastAsia="Arial"/>
          <w:b/>
          <w:color w:val="000000"/>
        </w:rPr>
      </w:pPr>
    </w:p>
    <w:p w:rsidR="00241782" w:rsidRPr="00B43D4E" w:rsidRDefault="00241782" w:rsidP="00241782">
      <w:pPr>
        <w:spacing w:after="0"/>
        <w:jc w:val="both"/>
        <w:rPr>
          <w:rFonts w:eastAsia="Arial"/>
          <w:color w:val="000000"/>
        </w:rPr>
      </w:pPr>
      <w:r w:rsidRPr="00B43D4E">
        <w:rPr>
          <w:rFonts w:eastAsia="Arial"/>
          <w:b/>
          <w:bCs/>
          <w:i/>
          <w:color w:val="000000"/>
          <w:u w:val="single"/>
        </w:rPr>
        <w:t xml:space="preserve">Примітка: </w:t>
      </w:r>
      <w:r w:rsidRPr="00B43D4E">
        <w:rPr>
          <w:rFonts w:eastAsia="Calibri"/>
          <w:color w:val="000000"/>
        </w:rPr>
        <w:t>Тендерна пропозиція, що не містить передбачених документів, вважається такою, що не відповідає умовам цієї документації</w:t>
      </w:r>
      <w:r w:rsidRPr="00B43D4E">
        <w:rPr>
          <w:rFonts w:eastAsia="Arial"/>
          <w:color w:val="000000"/>
        </w:rPr>
        <w:t>.</w:t>
      </w:r>
    </w:p>
    <w:p w:rsidR="00241782" w:rsidRPr="00B43D4E" w:rsidRDefault="00241782" w:rsidP="00241782">
      <w:pPr>
        <w:tabs>
          <w:tab w:val="left" w:pos="0"/>
        </w:tabs>
        <w:spacing w:after="0"/>
        <w:ind w:firstLine="426"/>
        <w:contextualSpacing/>
        <w:jc w:val="both"/>
        <w:rPr>
          <w:rFonts w:eastAsia="Arial"/>
          <w:b/>
          <w:i/>
          <w:color w:val="000000"/>
        </w:rPr>
      </w:pPr>
      <w:r w:rsidRPr="00B43D4E">
        <w:rPr>
          <w:rFonts w:eastAsia="Arial"/>
          <w:b/>
          <w:i/>
          <w:color w:val="000000"/>
        </w:rPr>
        <w:t>*Учасник процедури закупівлі підтверджує технічні вимоги Замовника викладаючи їх у стверджувальній формі на фірмовому бланку із зазначенням № та дати, посади, прізвища, ініціалів та підпису уповноваженої особи, та скріплена печаткою підприємства (у разі наявності).</w:t>
      </w: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outlineLvl w:val="0"/>
        <w:rPr>
          <w:rFonts w:eastAsia="Arial"/>
          <w:i/>
          <w:sz w:val="24"/>
          <w:szCs w:val="24"/>
        </w:rPr>
      </w:pPr>
    </w:p>
    <w:p w:rsidR="00241782" w:rsidRPr="00B43D4E" w:rsidRDefault="00241782" w:rsidP="00241782"/>
    <w:p w:rsidR="00241782" w:rsidRPr="00B43D4E" w:rsidRDefault="00241782" w:rsidP="00241782">
      <w:pPr>
        <w:spacing w:after="0" w:line="240" w:lineRule="auto"/>
        <w:ind w:left="142" w:right="-283"/>
        <w:jc w:val="center"/>
        <w:rPr>
          <w:rFonts w:eastAsia="Arial"/>
          <w:b/>
          <w:color w:val="000000"/>
          <w:sz w:val="24"/>
          <w:szCs w:val="24"/>
          <w:lang w:eastAsia="uk-UA"/>
        </w:rPr>
      </w:pPr>
      <w:r w:rsidRPr="00B43D4E">
        <w:rPr>
          <w:rFonts w:eastAsia="Arial"/>
          <w:b/>
          <w:color w:val="000000"/>
          <w:sz w:val="24"/>
          <w:szCs w:val="24"/>
          <w:lang w:eastAsia="uk-UA"/>
        </w:rPr>
        <w:t>Медико - технічні, якісні, кількісні та іншим вимоги до предмета закупівлі</w:t>
      </w: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316571" w:rsidRDefault="00241782" w:rsidP="0024178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B43D4E">
        <w:rPr>
          <w:rFonts w:eastAsia="Arial"/>
          <w:b/>
          <w:color w:val="000000"/>
          <w:sz w:val="24"/>
          <w:szCs w:val="24"/>
          <w:lang w:eastAsia="uk-UA"/>
        </w:rPr>
        <w:t xml:space="preserve">за кодом </w:t>
      </w:r>
      <w:r w:rsidRPr="00316571">
        <w:rPr>
          <w:b/>
          <w:color w:val="000000"/>
          <w:sz w:val="24"/>
          <w:szCs w:val="24"/>
          <w:lang w:eastAsia="zh-CN"/>
        </w:rPr>
        <w:t>ДК 021:2015: 85140000-</w:t>
      </w:r>
      <w:r>
        <w:rPr>
          <w:b/>
          <w:color w:val="000000"/>
          <w:sz w:val="24"/>
          <w:szCs w:val="24"/>
          <w:lang w:eastAsia="zh-CN"/>
        </w:rPr>
        <w:t>2</w:t>
      </w:r>
      <w:r w:rsidRPr="00316571">
        <w:rPr>
          <w:b/>
          <w:color w:val="000000"/>
          <w:sz w:val="24"/>
          <w:szCs w:val="24"/>
          <w:lang w:eastAsia="zh-CN"/>
        </w:rPr>
        <w:t xml:space="preserve"> — Послуги у сфері охорони здоров’я різні </w:t>
      </w:r>
    </w:p>
    <w:p w:rsidR="00241782" w:rsidRDefault="00241782" w:rsidP="0024178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lang w:eastAsia="zh-CN"/>
        </w:rPr>
        <w:t xml:space="preserve">Лот №2. </w:t>
      </w:r>
      <w:r w:rsidRPr="00BB5628">
        <w:rPr>
          <w:b/>
          <w:color w:val="000000"/>
          <w:sz w:val="24"/>
          <w:szCs w:val="24"/>
          <w:lang w:eastAsia="zh-CN"/>
        </w:rPr>
        <w:t>Набір медичний (стерильність), змиви (умовно-патогенні ентеробактерії та золотистий стафілокок)</w:t>
      </w:r>
      <w:r w:rsidRPr="00A810A9">
        <w:rPr>
          <w:b/>
          <w:color w:val="000000"/>
          <w:sz w:val="24"/>
          <w:szCs w:val="24"/>
          <w:lang w:eastAsia="zh-CN"/>
        </w:rPr>
        <w:t xml:space="preserve">ДК 021:2015 </w:t>
      </w:r>
      <w:r w:rsidRPr="00A810A9">
        <w:rPr>
          <w:b/>
          <w:sz w:val="24"/>
          <w:szCs w:val="24"/>
        </w:rPr>
        <w:t xml:space="preserve">«Єдиний закупівельний словник» </w:t>
      </w:r>
      <w:r w:rsidRPr="00A810A9">
        <w:rPr>
          <w:b/>
          <w:color w:val="000000"/>
          <w:sz w:val="24"/>
          <w:szCs w:val="24"/>
          <w:lang w:eastAsia="zh-CN"/>
        </w:rPr>
        <w:t xml:space="preserve">85145000-7 Послуги медичних лабораторій </w:t>
      </w:r>
    </w:p>
    <w:p w:rsidR="00241782" w:rsidRDefault="00241782" w:rsidP="00241782">
      <w:pPr>
        <w:spacing w:after="0" w:line="240" w:lineRule="auto"/>
        <w:ind w:left="142" w:right="-283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142" w:right="-283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eastAsia="Arial"/>
          <w:b/>
          <w:color w:val="000000"/>
          <w:u w:val="single"/>
          <w:lang w:eastAsia="ar-SA"/>
        </w:rPr>
      </w:pPr>
      <w:r w:rsidRPr="00B43D4E">
        <w:rPr>
          <w:rFonts w:eastAsia="Arial"/>
          <w:b/>
          <w:color w:val="000000"/>
          <w:u w:val="single"/>
          <w:lang w:eastAsia="ar-SA"/>
        </w:rPr>
        <w:t>ЗАГАЛЬНІ ВИМОГИ: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szCs w:val="21"/>
        </w:rPr>
      </w:pPr>
      <w:r w:rsidRPr="00A27280">
        <w:rPr>
          <w:szCs w:val="21"/>
        </w:rPr>
        <w:t xml:space="preserve"> Послуги з проведення лабораторних досліджень біологічних матеріалів повинні надаватися у порядку, встановленому законодавством України, із дотриманням вимог підзаконних актів, стандартів, та інших документів, що регламентують процес лабораторних досліджень.</w:t>
      </w:r>
    </w:p>
    <w:p w:rsidR="00241782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szCs w:val="21"/>
        </w:rPr>
      </w:pPr>
      <w:r w:rsidRPr="00A27280">
        <w:rPr>
          <w:szCs w:val="21"/>
        </w:rPr>
        <w:t>Інформація про Учасника повинна містит</w:t>
      </w:r>
      <w:r>
        <w:rPr>
          <w:szCs w:val="21"/>
        </w:rPr>
        <w:t>и</w:t>
      </w:r>
      <w:r w:rsidRPr="00A27280">
        <w:rPr>
          <w:szCs w:val="21"/>
        </w:rPr>
        <w:t>сь в переліку (ліцензійному реєстрі Міністерства охорони здоров’я Украйни) суб’єктів господарювання, які отримали ліцензію на провадження господарської діяльності з медичної практики, який розміщено на офіційному веб-сайті Міністерства охорони здоров'я України (МОЗ України) (на підтвердження надати копію ліцензії).</w:t>
      </w:r>
    </w:p>
    <w:p w:rsidR="00241782" w:rsidRPr="003F2B59" w:rsidRDefault="00241782" w:rsidP="00241782">
      <w:pPr>
        <w:pStyle w:val="a3"/>
        <w:numPr>
          <w:ilvl w:val="0"/>
          <w:numId w:val="1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Cs w:val="21"/>
          <w:lang w:val="uk-UA" w:eastAsia="en-US"/>
        </w:rPr>
      </w:pPr>
      <w:r w:rsidRPr="003F2B59">
        <w:rPr>
          <w:rFonts w:ascii="Times New Roman" w:eastAsia="Times New Roman" w:hAnsi="Times New Roman" w:cs="Times New Roman"/>
          <w:szCs w:val="21"/>
          <w:lang w:val="uk-UA" w:eastAsia="en-US"/>
        </w:rPr>
        <w:t>Інформація про Учасника повинна міститись в переліку суб'єктів господарювання, які отримали ліцензію на провадження господарської діяльності з медичної практики безпосередньо за адресою надання медичних послуг, який розміщено на офіційному веб-сайті Міністерства охорони здоров'я України (на підтвердження надати Витяг відомостей з Ліцензійного реєстру МОЗ</w:t>
      </w:r>
      <w:r>
        <w:rPr>
          <w:rFonts w:ascii="Times New Roman" w:eastAsia="Times New Roman" w:hAnsi="Times New Roman" w:cs="Times New Roman"/>
          <w:szCs w:val="21"/>
          <w:lang w:val="uk-UA" w:eastAsia="en-US"/>
        </w:rPr>
        <w:t xml:space="preserve"> з медичної практики за адресою надання медичних послуг).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99" w:hanging="357"/>
        <w:jc w:val="both"/>
        <w:rPr>
          <w:szCs w:val="21"/>
        </w:rPr>
      </w:pPr>
      <w:r w:rsidRPr="00A27280">
        <w:rPr>
          <w:szCs w:val="21"/>
        </w:rPr>
        <w:t xml:space="preserve"> Лабораторні дослідження повинні виконуватися кваліфікованим персоналом Учасника на обладнанні, яке відповідає нормам чинного законодавства України, з використанням реактивів, реагентів. витратних матеріалів тощо, які відповідають вимогам технічного регламенту щодо медичних виробів, в тому числі для діагностики invitro та діючим стандартам якості та дозволені у застосування в Україні (надати лист в довільній формі).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szCs w:val="21"/>
        </w:rPr>
      </w:pPr>
      <w:r w:rsidRPr="00A27280">
        <w:rPr>
          <w:szCs w:val="21"/>
        </w:rPr>
        <w:t>Учасник повинен забезпечувати шоденний внутрішній контроль якості із застосуванням                       сертифікованнх контрольних матеріалів (на підтвердження надати довідку у довільній формі).</w:t>
      </w:r>
    </w:p>
    <w:p w:rsidR="00241782" w:rsidRPr="00BB5628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</w:pPr>
      <w:r w:rsidRPr="00BB5628">
        <w:t>Учасник повинен надати акт визначення відповідності приміщення для надання медичних послуг санітарним нормам, який повинен відповідати санітарним нормам висновку ДСУ з  ПБХП та ЗС (на підтвердження надати висновок ДСУ з ПБХП та ЗС та/або Акт санітарно – епідеміологічного обстеження об’єкта).</w:t>
      </w:r>
    </w:p>
    <w:p w:rsidR="00241782" w:rsidRPr="00A27280" w:rsidRDefault="00241782" w:rsidP="002417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szCs w:val="21"/>
        </w:rPr>
      </w:pPr>
      <w:r w:rsidRPr="00A27280">
        <w:rPr>
          <w:szCs w:val="21"/>
        </w:rPr>
        <w:t xml:space="preserve">Вартість послуг повинна включати </w:t>
      </w:r>
      <w:r w:rsidRPr="00A27280">
        <w:rPr>
          <w:spacing w:val="1"/>
          <w:szCs w:val="21"/>
        </w:rPr>
        <w:t xml:space="preserve">всі витрати, пов’язані з </w:t>
      </w:r>
      <w:r w:rsidRPr="00A27280">
        <w:rPr>
          <w:szCs w:val="21"/>
        </w:rPr>
        <w:t>предметом закупівлі, сплати податків, обов’язкових платежів, страхування, витрати пов’язані з отриманням необхідних дозволів та</w:t>
      </w:r>
      <w:r w:rsidRPr="00A27280">
        <w:rPr>
          <w:spacing w:val="1"/>
          <w:szCs w:val="21"/>
        </w:rPr>
        <w:t xml:space="preserve"> ліцензій тощо </w:t>
      </w:r>
      <w:r w:rsidRPr="00A27280">
        <w:rPr>
          <w:szCs w:val="21"/>
        </w:rPr>
        <w:t xml:space="preserve"> (</w:t>
      </w:r>
      <w:r w:rsidRPr="00A27280">
        <w:rPr>
          <w:b/>
          <w:szCs w:val="21"/>
        </w:rPr>
        <w:t>на підтвердження надати гарантійний лист</w:t>
      </w:r>
      <w:r w:rsidRPr="00A27280">
        <w:rPr>
          <w:szCs w:val="21"/>
        </w:rPr>
        <w:t>).</w:t>
      </w:r>
    </w:p>
    <w:p w:rsidR="00241782" w:rsidRPr="00A27280" w:rsidRDefault="00241782" w:rsidP="0024178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Arial" w:hAnsi="Times New Roman" w:cs="Times New Roman"/>
          <w:color w:val="000000"/>
          <w:szCs w:val="21"/>
          <w:lang w:val="uk-UA"/>
        </w:rPr>
      </w:pPr>
      <w:r>
        <w:rPr>
          <w:rFonts w:ascii="Times New Roman" w:eastAsia="Arial" w:hAnsi="Times New Roman" w:cs="Times New Roman"/>
          <w:szCs w:val="21"/>
          <w:lang w:val="uk-UA"/>
        </w:rPr>
        <w:t>Т</w:t>
      </w:r>
      <w:r w:rsidRPr="00A27280">
        <w:rPr>
          <w:rFonts w:ascii="Times New Roman" w:eastAsia="Arial" w:hAnsi="Times New Roman" w:cs="Times New Roman"/>
          <w:szCs w:val="21"/>
          <w:lang w:val="uk-UA"/>
        </w:rPr>
        <w:t xml:space="preserve">ехнічні, якісні характеристики предмета закупівлі повинні передбачати необхідність застосування заходів із захисту довкілля </w:t>
      </w:r>
      <w:r w:rsidRPr="00A27280">
        <w:rPr>
          <w:rFonts w:ascii="Times New Roman" w:eastAsia="Arial" w:hAnsi="Times New Roman" w:cs="Times New Roman"/>
          <w:b/>
          <w:szCs w:val="21"/>
          <w:lang w:val="uk-UA"/>
        </w:rPr>
        <w:t>(надається гарантійний</w:t>
      </w:r>
      <w:r w:rsidRPr="00A27280">
        <w:rPr>
          <w:rFonts w:ascii="Times New Roman" w:eastAsia="Arial" w:hAnsi="Times New Roman" w:cs="Times New Roman"/>
          <w:b/>
          <w:color w:val="000000"/>
          <w:szCs w:val="21"/>
          <w:lang w:val="uk-UA"/>
        </w:rPr>
        <w:t xml:space="preserve"> лист).</w:t>
      </w: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firstLine="284"/>
        <w:jc w:val="both"/>
        <w:rPr>
          <w:rFonts w:eastAsia="Calibri"/>
          <w:b/>
          <w:bCs/>
          <w:i/>
          <w:color w:val="000000"/>
          <w:szCs w:val="24"/>
        </w:rPr>
      </w:pPr>
      <w:r w:rsidRPr="00B43D4E">
        <w:rPr>
          <w:rFonts w:eastAsia="Calibri"/>
          <w:b/>
          <w:bCs/>
          <w:i/>
          <w:color w:val="000000"/>
          <w:szCs w:val="24"/>
        </w:rPr>
        <w:t>Ненадання Учасником будь якого з документів, або надання документу який не відповідає вимогам тендерної документації, є підставою для відхилення пропозиції Учасника.</w:t>
      </w: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241782" w:rsidRPr="00B43D4E" w:rsidRDefault="00241782" w:rsidP="00241782">
      <w:pPr>
        <w:spacing w:after="0"/>
        <w:jc w:val="center"/>
        <w:rPr>
          <w:rFonts w:eastAsia="Arial"/>
          <w:b/>
          <w:color w:val="000000"/>
        </w:rPr>
        <w:sectPr w:rsidR="00241782" w:rsidRPr="00B43D4E" w:rsidSect="0025276B">
          <w:pgSz w:w="11906" w:h="16838"/>
          <w:pgMar w:top="426" w:right="424" w:bottom="567" w:left="851" w:header="142" w:footer="0" w:gutter="0"/>
          <w:paperSrc w:first="7" w:other="7"/>
          <w:cols w:space="708"/>
          <w:titlePg/>
          <w:docGrid w:linePitch="360"/>
        </w:sectPr>
      </w:pPr>
    </w:p>
    <w:p w:rsidR="00241782" w:rsidRPr="00B43D4E" w:rsidRDefault="00241782" w:rsidP="00241782">
      <w:pPr>
        <w:spacing w:after="0"/>
        <w:jc w:val="center"/>
        <w:rPr>
          <w:rFonts w:eastAsia="Arial"/>
          <w:b/>
          <w:color w:val="000000"/>
        </w:rPr>
      </w:pPr>
      <w:r w:rsidRPr="00B43D4E">
        <w:rPr>
          <w:rFonts w:eastAsia="Arial"/>
          <w:b/>
          <w:color w:val="000000"/>
        </w:rPr>
        <w:lastRenderedPageBreak/>
        <w:t>Перелік лабораторних досліджень:</w:t>
      </w:r>
    </w:p>
    <w:tbl>
      <w:tblPr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0"/>
        <w:gridCol w:w="1417"/>
      </w:tblGrid>
      <w:tr w:rsidR="00241782" w:rsidRPr="00B43D4E" w:rsidTr="00332680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82" w:rsidRPr="00B43D4E" w:rsidRDefault="00241782" w:rsidP="00332680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B43D4E">
              <w:rPr>
                <w:rFonts w:eastAsia="Arial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782" w:rsidRPr="00B43D4E" w:rsidRDefault="00241782" w:rsidP="00332680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B43D4E">
              <w:rPr>
                <w:rFonts w:eastAsia="Arial"/>
                <w:b/>
                <w:color w:val="000000"/>
                <w:sz w:val="20"/>
                <w:szCs w:val="20"/>
              </w:rPr>
              <w:t>Назва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82" w:rsidRPr="00B43D4E" w:rsidRDefault="00241782" w:rsidP="00332680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20"/>
                <w:szCs w:val="20"/>
                <w:lang w:val="en-US"/>
              </w:rPr>
            </w:pPr>
            <w:r w:rsidRPr="00B43D4E">
              <w:rPr>
                <w:rFonts w:eastAsia="Arial"/>
                <w:b/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ількість</w:t>
            </w:r>
          </w:p>
        </w:tc>
      </w:tr>
      <w:tr w:rsidR="00241782" w:rsidRPr="00A77851" w:rsidTr="00332680">
        <w:trPr>
          <w:trHeight w:val="2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82" w:rsidRPr="00A77851" w:rsidRDefault="00241782" w:rsidP="00332680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782" w:rsidRPr="00A77851" w:rsidRDefault="00241782" w:rsidP="00332680">
            <w:pPr>
              <w:jc w:val="center"/>
              <w:rPr>
                <w:rFonts w:eastAsia="NSimSun"/>
                <w:b/>
              </w:rPr>
            </w:pPr>
            <w:r w:rsidRPr="00A77851">
              <w:rPr>
                <w:rFonts w:eastAsia="NSimSun"/>
                <w:b/>
              </w:rPr>
              <w:t>Послуги медичних лабораторій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82" w:rsidRPr="00A77851" w:rsidRDefault="00241782" w:rsidP="00332680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70</w:t>
            </w:r>
          </w:p>
        </w:tc>
      </w:tr>
      <w:tr w:rsidR="00241782" w:rsidRPr="00F57723" w:rsidTr="00332680">
        <w:trPr>
          <w:trHeight w:val="2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EB3085">
              <w:t>бактеріологічний контроль стерильності виробів медичного призначення, інструментарію після стерилізації, діагностичних імунобіологічних препаратів, лікарських засобів та інших об'єктів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>
              <w:t>1</w:t>
            </w:r>
            <w:r w:rsidRPr="00E919E3">
              <w:t>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EB3085">
              <w:t>виявлення бактеріального забруднення середовища життєдіяльності людини методом змивів на золотистий стафілокок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>
              <w:t>3</w:t>
            </w:r>
            <w:r w:rsidRPr="00E919E3">
              <w:t>0</w:t>
            </w:r>
          </w:p>
        </w:tc>
      </w:tr>
      <w:tr w:rsidR="00241782" w:rsidRPr="00F57723" w:rsidTr="00332680">
        <w:trPr>
          <w:trHeight w:val="1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82" w:rsidRPr="00F57723" w:rsidRDefault="00241782" w:rsidP="0033268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41782" w:rsidRPr="00F57723" w:rsidRDefault="00241782" w:rsidP="00332680">
            <w:pPr>
              <w:spacing w:after="0" w:line="240" w:lineRule="auto"/>
            </w:pPr>
            <w:r w:rsidRPr="00EB3085">
              <w:t>виявлення бактеріального забруднення середовища життєдіяльності людини методом змивів на умовно-патогенні ентеробактерії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82" w:rsidRPr="00E919E3" w:rsidRDefault="00241782" w:rsidP="00332680">
            <w:pPr>
              <w:spacing w:after="0" w:line="240" w:lineRule="auto"/>
              <w:jc w:val="center"/>
            </w:pPr>
            <w:r>
              <w:t>3</w:t>
            </w:r>
            <w:r w:rsidRPr="00E919E3">
              <w:t>0</w:t>
            </w:r>
          </w:p>
        </w:tc>
      </w:tr>
    </w:tbl>
    <w:p w:rsidR="00241782" w:rsidRPr="00EF3F87" w:rsidRDefault="00241782" w:rsidP="00241782">
      <w:pPr>
        <w:spacing w:after="0"/>
        <w:jc w:val="both"/>
        <w:rPr>
          <w:rFonts w:eastAsia="Arial"/>
          <w:b/>
          <w:color w:val="000000"/>
        </w:rPr>
      </w:pPr>
    </w:p>
    <w:p w:rsidR="00241782" w:rsidRPr="00B43D4E" w:rsidRDefault="00241782" w:rsidP="00241782">
      <w:pPr>
        <w:spacing w:after="0"/>
        <w:jc w:val="both"/>
        <w:rPr>
          <w:rFonts w:eastAsia="Arial"/>
          <w:color w:val="000000"/>
        </w:rPr>
      </w:pPr>
      <w:r w:rsidRPr="00B43D4E">
        <w:rPr>
          <w:rFonts w:eastAsia="Arial"/>
          <w:b/>
          <w:bCs/>
          <w:i/>
          <w:color w:val="000000"/>
          <w:u w:val="single"/>
        </w:rPr>
        <w:t xml:space="preserve">Примітка: </w:t>
      </w:r>
      <w:r w:rsidRPr="00B43D4E">
        <w:rPr>
          <w:rFonts w:eastAsia="Calibri"/>
          <w:color w:val="000000"/>
        </w:rPr>
        <w:t>Тендерна пропозиція, що не містить передбачених документів, вважається такою, що не відповідає умовам цієї документації</w:t>
      </w:r>
      <w:r w:rsidRPr="00B43D4E">
        <w:rPr>
          <w:rFonts w:eastAsia="Arial"/>
          <w:color w:val="000000"/>
        </w:rPr>
        <w:t>.</w:t>
      </w:r>
    </w:p>
    <w:p w:rsidR="00241782" w:rsidRPr="00B43D4E" w:rsidRDefault="00241782" w:rsidP="00241782">
      <w:pPr>
        <w:tabs>
          <w:tab w:val="left" w:pos="0"/>
        </w:tabs>
        <w:spacing w:after="0"/>
        <w:ind w:firstLine="426"/>
        <w:contextualSpacing/>
        <w:jc w:val="both"/>
        <w:rPr>
          <w:rFonts w:eastAsia="Arial"/>
          <w:b/>
          <w:i/>
          <w:color w:val="000000"/>
        </w:rPr>
      </w:pPr>
      <w:r w:rsidRPr="00B43D4E">
        <w:rPr>
          <w:rFonts w:eastAsia="Arial"/>
          <w:b/>
          <w:i/>
          <w:color w:val="000000"/>
        </w:rPr>
        <w:t>*Учасник процедури закупівлі підтверджує технічні вимоги Замовника викладаючи їх у стверджувальній формі на фірмовому бланку із зазначенням № та дати, посади, прізвища, ініціалів та підпису уповноваженої особи, та скріплена печаткою підприємства (у разі наявності).</w:t>
      </w:r>
    </w:p>
    <w:p w:rsidR="00241782" w:rsidRPr="00241782" w:rsidRDefault="00241782"/>
    <w:sectPr w:rsidR="00241782" w:rsidRPr="0024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1A2A"/>
    <w:multiLevelType w:val="hybridMultilevel"/>
    <w:tmpl w:val="D6EE11B2"/>
    <w:lvl w:ilvl="0" w:tplc="387669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82"/>
    <w:rsid w:val="00241782"/>
    <w:rsid w:val="00B4561E"/>
    <w:rsid w:val="00CB3E60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241782"/>
  </w:style>
  <w:style w:type="paragraph" w:styleId="a3">
    <w:name w:val="List Paragraph"/>
    <w:basedOn w:val="a"/>
    <w:uiPriority w:val="34"/>
    <w:qFormat/>
    <w:rsid w:val="0024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241782"/>
  </w:style>
  <w:style w:type="paragraph" w:styleId="a3">
    <w:name w:val="List Paragraph"/>
    <w:basedOn w:val="a"/>
    <w:uiPriority w:val="34"/>
    <w:qFormat/>
    <w:rsid w:val="0024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2024-01-04T07:08:00Z</dcterms:created>
  <dcterms:modified xsi:type="dcterms:W3CDTF">2024-01-04T07:08:00Z</dcterms:modified>
</cp:coreProperties>
</file>